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B3B" w:rsidRDefault="007D7B3B" w:rsidP="007D7B3B">
      <w:pPr>
        <w:rPr>
          <w:bCs/>
          <w:sz w:val="26"/>
          <w:szCs w:val="26"/>
        </w:rPr>
      </w:pPr>
    </w:p>
    <w:p w:rsidR="00BA32EA" w:rsidRDefault="00BA32EA" w:rsidP="00141ED4">
      <w:pPr>
        <w:jc w:val="center"/>
        <w:rPr>
          <w:rFonts w:asciiTheme="minorHAnsi" w:hAnsiTheme="minorHAnsi" w:cstheme="minorHAnsi"/>
          <w:b/>
          <w:bCs/>
          <w:sz w:val="32"/>
          <w:szCs w:val="26"/>
        </w:rPr>
      </w:pPr>
    </w:p>
    <w:p w:rsidR="00141ED4" w:rsidRPr="00D10B90" w:rsidRDefault="00953557" w:rsidP="00141ED4">
      <w:pPr>
        <w:jc w:val="center"/>
        <w:rPr>
          <w:rFonts w:asciiTheme="minorHAnsi" w:hAnsiTheme="minorHAnsi" w:cstheme="minorHAnsi"/>
          <w:b/>
          <w:bCs/>
          <w:sz w:val="32"/>
          <w:szCs w:val="26"/>
        </w:rPr>
      </w:pPr>
      <w:r>
        <w:rPr>
          <w:rFonts w:asciiTheme="minorHAnsi" w:hAnsiTheme="minorHAnsi" w:cstheme="minorHAnsi"/>
          <w:b/>
          <w:bCs/>
          <w:sz w:val="32"/>
          <w:szCs w:val="26"/>
        </w:rPr>
        <w:t>2024</w:t>
      </w:r>
      <w:r w:rsidR="00141ED4" w:rsidRPr="00D10B90">
        <w:rPr>
          <w:rFonts w:asciiTheme="minorHAnsi" w:hAnsiTheme="minorHAnsi" w:cstheme="minorHAnsi"/>
          <w:b/>
          <w:bCs/>
          <w:sz w:val="32"/>
          <w:szCs w:val="26"/>
        </w:rPr>
        <w:t xml:space="preserve"> ANNUAL REPORT</w:t>
      </w:r>
    </w:p>
    <w:p w:rsidR="00141ED4" w:rsidRPr="00D10B90" w:rsidRDefault="00141ED4" w:rsidP="00141ED4">
      <w:pPr>
        <w:jc w:val="center"/>
        <w:rPr>
          <w:rFonts w:asciiTheme="minorHAnsi" w:hAnsiTheme="minorHAnsi" w:cstheme="minorHAnsi"/>
          <w:b/>
          <w:bCs/>
          <w:sz w:val="32"/>
          <w:szCs w:val="26"/>
        </w:rPr>
      </w:pPr>
      <w:r w:rsidRPr="00D10B90">
        <w:rPr>
          <w:rFonts w:asciiTheme="minorHAnsi" w:hAnsiTheme="minorHAnsi" w:cstheme="minorHAnsi"/>
          <w:b/>
          <w:bCs/>
          <w:sz w:val="32"/>
          <w:szCs w:val="26"/>
        </w:rPr>
        <w:t>AB 2588 AIR TOXICS “HOT SPOTS” PROGRAM</w:t>
      </w:r>
    </w:p>
    <w:p w:rsidR="007D7B3B" w:rsidRPr="00D10B90" w:rsidRDefault="007D7B3B" w:rsidP="007D7B3B">
      <w:pPr>
        <w:pStyle w:val="Default"/>
        <w:rPr>
          <w:rFonts w:asciiTheme="minorHAnsi" w:hAnsiTheme="minorHAnsi" w:cstheme="minorHAnsi"/>
          <w:b/>
          <w:bCs/>
          <w:sz w:val="26"/>
          <w:szCs w:val="26"/>
        </w:rPr>
      </w:pPr>
    </w:p>
    <w:p w:rsidR="007D7B3B" w:rsidRPr="00D10B90" w:rsidRDefault="00D56E2A" w:rsidP="00141ED4">
      <w:pPr>
        <w:pStyle w:val="Default"/>
        <w:jc w:val="center"/>
        <w:rPr>
          <w:rFonts w:asciiTheme="minorHAnsi" w:hAnsiTheme="minorHAnsi" w:cstheme="minorHAnsi"/>
          <w:b/>
          <w:bCs/>
          <w:sz w:val="26"/>
          <w:szCs w:val="26"/>
        </w:rPr>
      </w:pPr>
      <w:r>
        <w:rPr>
          <w:rFonts w:asciiTheme="minorHAnsi" w:hAnsiTheme="minorHAnsi" w:cstheme="minorHAnsi"/>
          <w:b/>
          <w:bCs/>
          <w:sz w:val="26"/>
          <w:szCs w:val="26"/>
        </w:rPr>
        <w:t>October 11, 2024</w:t>
      </w:r>
    </w:p>
    <w:p w:rsidR="00D10B90" w:rsidRPr="00D10B90" w:rsidRDefault="00D10B90" w:rsidP="00141ED4">
      <w:pPr>
        <w:pStyle w:val="Default"/>
        <w:jc w:val="center"/>
        <w:rPr>
          <w:rFonts w:asciiTheme="minorHAnsi" w:hAnsiTheme="minorHAnsi" w:cstheme="minorHAnsi"/>
          <w:b/>
          <w:bCs/>
          <w:sz w:val="26"/>
          <w:szCs w:val="26"/>
        </w:rPr>
      </w:pPr>
    </w:p>
    <w:p w:rsidR="00D10B90" w:rsidRDefault="00D10B90" w:rsidP="00D10B90">
      <w:pPr>
        <w:pStyle w:val="Default"/>
        <w:rPr>
          <w:rFonts w:asciiTheme="minorHAnsi" w:hAnsiTheme="minorHAnsi" w:cstheme="minorHAnsi"/>
          <w:bCs/>
          <w:szCs w:val="26"/>
        </w:rPr>
      </w:pPr>
      <w:r w:rsidRPr="00D10B90">
        <w:rPr>
          <w:rFonts w:asciiTheme="minorHAnsi" w:hAnsiTheme="minorHAnsi" w:cstheme="minorHAnsi"/>
          <w:bCs/>
          <w:szCs w:val="26"/>
        </w:rPr>
        <w:t>The Air Toxics “Hot Spots” Information and Assessment Act of 1987 (AB 2588) is a State of California public right-to-know law requiring local air quality management and air pollution control districts to colle</w:t>
      </w:r>
      <w:r w:rsidR="00953557">
        <w:rPr>
          <w:rFonts w:asciiTheme="minorHAnsi" w:hAnsiTheme="minorHAnsi" w:cstheme="minorHAnsi"/>
          <w:bCs/>
          <w:szCs w:val="26"/>
        </w:rPr>
        <w:t>ct information about the location</w:t>
      </w:r>
      <w:r w:rsidRPr="00D10B90">
        <w:rPr>
          <w:rFonts w:asciiTheme="minorHAnsi" w:hAnsiTheme="minorHAnsi" w:cstheme="minorHAnsi"/>
          <w:bCs/>
          <w:szCs w:val="26"/>
        </w:rPr>
        <w:t xml:space="preserve">, type, and quantity of toxic compounds emitted into the air from specified local businesses </w:t>
      </w:r>
      <w:r>
        <w:rPr>
          <w:rFonts w:asciiTheme="minorHAnsi" w:hAnsiTheme="minorHAnsi" w:cstheme="minorHAnsi"/>
          <w:bCs/>
          <w:szCs w:val="26"/>
        </w:rPr>
        <w:t xml:space="preserve">and industry. The AB 2588 Program Annual Report is published to provide the public with information regarding the AB 2588 Program of the </w:t>
      </w:r>
      <w:bookmarkStart w:id="0" w:name="_GoBack"/>
      <w:bookmarkEnd w:id="0"/>
      <w:r>
        <w:rPr>
          <w:rFonts w:asciiTheme="minorHAnsi" w:hAnsiTheme="minorHAnsi" w:cstheme="minorHAnsi"/>
          <w:bCs/>
          <w:szCs w:val="26"/>
        </w:rPr>
        <w:t>Colusa County Air Pollution Control District (District). The enabling statutes (California Health &amp; Safety Code (HSC) Sections 44300-44394) require the California Air Resources Board (CARB) and local air districts to implement the “Hot Spots” Program. This report describes the current reporting and evaluation status for facilities being tracked under this program. This annual report is required by California HSC Section 44363.</w:t>
      </w:r>
    </w:p>
    <w:p w:rsidR="0033033D" w:rsidRDefault="0033033D" w:rsidP="00D10B90">
      <w:pPr>
        <w:pStyle w:val="Default"/>
        <w:rPr>
          <w:rFonts w:asciiTheme="minorHAnsi" w:hAnsiTheme="minorHAnsi" w:cstheme="minorHAnsi"/>
          <w:bCs/>
          <w:szCs w:val="26"/>
        </w:rPr>
      </w:pPr>
    </w:p>
    <w:p w:rsidR="0033033D" w:rsidRDefault="0033033D" w:rsidP="00D10B90">
      <w:pPr>
        <w:pStyle w:val="Default"/>
        <w:rPr>
          <w:rFonts w:asciiTheme="minorHAnsi" w:hAnsiTheme="minorHAnsi" w:cstheme="minorHAnsi"/>
          <w:b/>
          <w:bCs/>
          <w:szCs w:val="26"/>
        </w:rPr>
      </w:pPr>
      <w:r w:rsidRPr="0033033D">
        <w:rPr>
          <w:rFonts w:asciiTheme="minorHAnsi" w:hAnsiTheme="minorHAnsi" w:cstheme="minorHAnsi"/>
          <w:b/>
          <w:bCs/>
          <w:szCs w:val="26"/>
        </w:rPr>
        <w:t>INTRODUCTION</w:t>
      </w:r>
    </w:p>
    <w:p w:rsidR="0033033D" w:rsidRDefault="0033033D" w:rsidP="00D10B90">
      <w:pPr>
        <w:pStyle w:val="Default"/>
        <w:rPr>
          <w:rFonts w:asciiTheme="minorHAnsi" w:hAnsiTheme="minorHAnsi" w:cstheme="minorHAnsi"/>
          <w:b/>
          <w:bCs/>
          <w:szCs w:val="26"/>
        </w:rPr>
      </w:pPr>
    </w:p>
    <w:p w:rsidR="0033033D" w:rsidRDefault="0033033D" w:rsidP="00D10B90">
      <w:pPr>
        <w:pStyle w:val="Default"/>
        <w:rPr>
          <w:rFonts w:asciiTheme="minorHAnsi" w:hAnsiTheme="minorHAnsi" w:cstheme="minorHAnsi"/>
          <w:bCs/>
          <w:szCs w:val="26"/>
        </w:rPr>
      </w:pPr>
      <w:r>
        <w:rPr>
          <w:rFonts w:asciiTheme="minorHAnsi" w:hAnsiTheme="minorHAnsi" w:cstheme="minorHAnsi"/>
          <w:bCs/>
          <w:szCs w:val="26"/>
        </w:rPr>
        <w:t>The goals of the AB 2588 Program are to collect emission data, to identify facilities having localized impacts, to ascertain health risks, and to notify residents of significant risks.</w:t>
      </w:r>
    </w:p>
    <w:p w:rsidR="0033033D" w:rsidRDefault="0033033D" w:rsidP="00D10B90">
      <w:pPr>
        <w:pStyle w:val="Default"/>
        <w:rPr>
          <w:rFonts w:asciiTheme="minorHAnsi" w:hAnsiTheme="minorHAnsi" w:cstheme="minorHAnsi"/>
          <w:bCs/>
          <w:szCs w:val="26"/>
        </w:rPr>
      </w:pPr>
    </w:p>
    <w:p w:rsidR="00421076" w:rsidRDefault="0033033D" w:rsidP="00D10B90">
      <w:pPr>
        <w:pStyle w:val="Default"/>
        <w:rPr>
          <w:rFonts w:asciiTheme="minorHAnsi" w:hAnsiTheme="minorHAnsi" w:cstheme="minorHAnsi"/>
          <w:bCs/>
          <w:szCs w:val="26"/>
        </w:rPr>
      </w:pPr>
      <w:r>
        <w:rPr>
          <w:rFonts w:asciiTheme="minorHAnsi" w:hAnsiTheme="minorHAnsi" w:cstheme="minorHAnsi"/>
          <w:bCs/>
          <w:szCs w:val="26"/>
        </w:rPr>
        <w:t>The Air Toxics “Hot Spots” Information and Assessment Act of 1987 (AB 2588) requires certain emitters of airborne toxic compounds to submit toxic emissions inventory reports and updates. If the prioritization score indicated further evaluation is necessary, the facility is required to perfo</w:t>
      </w:r>
      <w:r w:rsidR="00953557">
        <w:rPr>
          <w:rFonts w:asciiTheme="minorHAnsi" w:hAnsiTheme="minorHAnsi" w:cstheme="minorHAnsi"/>
          <w:bCs/>
          <w:szCs w:val="26"/>
        </w:rPr>
        <w:t>rm a Health Risk Assessment (HRA</w:t>
      </w:r>
      <w:r>
        <w:rPr>
          <w:rFonts w:asciiTheme="minorHAnsi" w:hAnsiTheme="minorHAnsi" w:cstheme="minorHAnsi"/>
          <w:bCs/>
          <w:szCs w:val="26"/>
        </w:rPr>
        <w:t xml:space="preserve">). AB 2588 further requires the District to prepare an annual report summarizing progress on the implementation of the program. </w:t>
      </w:r>
    </w:p>
    <w:p w:rsidR="00421076" w:rsidRDefault="00421076" w:rsidP="00D10B90">
      <w:pPr>
        <w:pStyle w:val="Default"/>
        <w:rPr>
          <w:rFonts w:asciiTheme="minorHAnsi" w:hAnsiTheme="minorHAnsi" w:cstheme="minorHAnsi"/>
          <w:bCs/>
          <w:szCs w:val="26"/>
        </w:rPr>
      </w:pPr>
    </w:p>
    <w:p w:rsidR="0033033D" w:rsidRDefault="0033033D" w:rsidP="00D10B90">
      <w:pPr>
        <w:pStyle w:val="Default"/>
        <w:rPr>
          <w:rFonts w:asciiTheme="minorHAnsi" w:hAnsiTheme="minorHAnsi" w:cstheme="minorHAnsi"/>
          <w:bCs/>
          <w:szCs w:val="26"/>
        </w:rPr>
      </w:pPr>
      <w:r>
        <w:rPr>
          <w:rFonts w:asciiTheme="minorHAnsi" w:hAnsiTheme="minorHAnsi" w:cstheme="minorHAnsi"/>
          <w:bCs/>
          <w:szCs w:val="26"/>
        </w:rPr>
        <w:t>HSC Section 44363 requires that the District Board conduct a public hearing concerning the subject report which must include information on the following:</w:t>
      </w:r>
    </w:p>
    <w:p w:rsidR="0033033D" w:rsidRDefault="0033033D" w:rsidP="00D10B90">
      <w:pPr>
        <w:pStyle w:val="Default"/>
        <w:rPr>
          <w:rFonts w:asciiTheme="minorHAnsi" w:hAnsiTheme="minorHAnsi" w:cstheme="minorHAnsi"/>
          <w:bCs/>
          <w:szCs w:val="26"/>
        </w:rPr>
      </w:pPr>
    </w:p>
    <w:p w:rsidR="0033033D" w:rsidRDefault="0033033D" w:rsidP="0033033D">
      <w:pPr>
        <w:pStyle w:val="Default"/>
        <w:ind w:left="720"/>
        <w:rPr>
          <w:rFonts w:asciiTheme="minorHAnsi" w:hAnsiTheme="minorHAnsi" w:cstheme="minorHAnsi"/>
          <w:bCs/>
          <w:szCs w:val="26"/>
        </w:rPr>
      </w:pPr>
      <w:r>
        <w:rPr>
          <w:rFonts w:asciiTheme="minorHAnsi" w:hAnsiTheme="minorHAnsi" w:cstheme="minorHAnsi"/>
          <w:bCs/>
          <w:szCs w:val="26"/>
        </w:rPr>
        <w:t>1)  The prioritization of facilities for the purpose of performing a health risk assessment for air emissions of listed substances;</w:t>
      </w:r>
    </w:p>
    <w:p w:rsidR="0033033D" w:rsidRDefault="0033033D" w:rsidP="0033033D">
      <w:pPr>
        <w:pStyle w:val="Default"/>
        <w:ind w:left="720"/>
        <w:rPr>
          <w:rFonts w:asciiTheme="minorHAnsi" w:hAnsiTheme="minorHAnsi" w:cstheme="minorHAnsi"/>
          <w:bCs/>
          <w:szCs w:val="26"/>
        </w:rPr>
      </w:pPr>
      <w:r>
        <w:rPr>
          <w:rFonts w:asciiTheme="minorHAnsi" w:hAnsiTheme="minorHAnsi" w:cstheme="minorHAnsi"/>
          <w:bCs/>
          <w:szCs w:val="26"/>
        </w:rPr>
        <w:t>2)  The ranking and identification of facilities according to the degree of cancer risk posed to surrounding receptors;</w:t>
      </w:r>
    </w:p>
    <w:p w:rsidR="0033033D" w:rsidRDefault="0033033D" w:rsidP="0033033D">
      <w:pPr>
        <w:pStyle w:val="Default"/>
        <w:ind w:left="720"/>
        <w:rPr>
          <w:rFonts w:asciiTheme="minorHAnsi" w:hAnsiTheme="minorHAnsi" w:cstheme="minorHAnsi"/>
          <w:bCs/>
          <w:szCs w:val="26"/>
        </w:rPr>
      </w:pPr>
      <w:r>
        <w:rPr>
          <w:rFonts w:asciiTheme="minorHAnsi" w:hAnsiTheme="minorHAnsi" w:cstheme="minorHAnsi"/>
          <w:bCs/>
          <w:szCs w:val="26"/>
        </w:rPr>
        <w:t>3)  The identification of facilities which expose individuals or populations to any non-cancer health risks; and</w:t>
      </w:r>
    </w:p>
    <w:p w:rsidR="00BA32EA" w:rsidRDefault="0033033D" w:rsidP="00BA32EA">
      <w:pPr>
        <w:pStyle w:val="Default"/>
        <w:ind w:left="720"/>
        <w:rPr>
          <w:rFonts w:asciiTheme="minorHAnsi" w:hAnsiTheme="minorHAnsi" w:cstheme="minorHAnsi"/>
          <w:bCs/>
          <w:szCs w:val="26"/>
        </w:rPr>
      </w:pPr>
      <w:r>
        <w:rPr>
          <w:rFonts w:asciiTheme="minorHAnsi" w:hAnsiTheme="minorHAnsi" w:cstheme="minorHAnsi"/>
          <w:bCs/>
          <w:szCs w:val="26"/>
        </w:rPr>
        <w:t>4)  The status of development of control measures to reduce emissions of toxic air contaminants, if any.</w:t>
      </w:r>
    </w:p>
    <w:p w:rsidR="00BA32EA" w:rsidRDefault="00BA32EA" w:rsidP="00BA32EA">
      <w:pPr>
        <w:pStyle w:val="Default"/>
        <w:rPr>
          <w:rFonts w:asciiTheme="minorHAnsi" w:hAnsiTheme="minorHAnsi" w:cstheme="minorHAnsi"/>
          <w:bCs/>
          <w:szCs w:val="26"/>
        </w:rPr>
      </w:pPr>
    </w:p>
    <w:p w:rsidR="00BA32EA" w:rsidRDefault="00BA32EA" w:rsidP="00BA32EA">
      <w:pPr>
        <w:pStyle w:val="Default"/>
        <w:rPr>
          <w:rFonts w:asciiTheme="minorHAnsi" w:hAnsiTheme="minorHAnsi" w:cstheme="minorHAnsi"/>
          <w:b/>
          <w:bCs/>
          <w:szCs w:val="26"/>
        </w:rPr>
      </w:pPr>
    </w:p>
    <w:p w:rsidR="00BA32EA" w:rsidRDefault="00BA32EA" w:rsidP="00BA32EA">
      <w:pPr>
        <w:pStyle w:val="Default"/>
        <w:rPr>
          <w:rFonts w:asciiTheme="minorHAnsi" w:hAnsiTheme="minorHAnsi" w:cstheme="minorHAnsi"/>
          <w:b/>
          <w:bCs/>
          <w:szCs w:val="26"/>
        </w:rPr>
      </w:pPr>
    </w:p>
    <w:p w:rsidR="00BA32EA" w:rsidRDefault="00BA32EA" w:rsidP="00BA32EA">
      <w:pPr>
        <w:pStyle w:val="Default"/>
        <w:rPr>
          <w:rFonts w:asciiTheme="minorHAnsi" w:hAnsiTheme="minorHAnsi" w:cstheme="minorHAnsi"/>
          <w:b/>
          <w:bCs/>
          <w:szCs w:val="26"/>
        </w:rPr>
      </w:pPr>
    </w:p>
    <w:p w:rsidR="00746CC4" w:rsidRDefault="00746CC4" w:rsidP="00BA32EA">
      <w:pPr>
        <w:pStyle w:val="Default"/>
        <w:rPr>
          <w:rFonts w:asciiTheme="minorHAnsi" w:hAnsiTheme="minorHAnsi" w:cstheme="minorHAnsi"/>
          <w:b/>
          <w:bCs/>
          <w:szCs w:val="26"/>
        </w:rPr>
      </w:pPr>
    </w:p>
    <w:p w:rsidR="00746CC4" w:rsidRDefault="00746CC4" w:rsidP="00BA32EA">
      <w:pPr>
        <w:pStyle w:val="Default"/>
        <w:rPr>
          <w:rFonts w:asciiTheme="minorHAnsi" w:hAnsiTheme="minorHAnsi" w:cstheme="minorHAnsi"/>
          <w:b/>
          <w:bCs/>
          <w:szCs w:val="26"/>
        </w:rPr>
      </w:pPr>
    </w:p>
    <w:p w:rsidR="00746CC4" w:rsidRDefault="00746CC4" w:rsidP="00BA32EA">
      <w:pPr>
        <w:pStyle w:val="Default"/>
        <w:rPr>
          <w:rFonts w:asciiTheme="minorHAnsi" w:hAnsiTheme="minorHAnsi" w:cstheme="minorHAnsi"/>
          <w:b/>
          <w:bCs/>
          <w:szCs w:val="26"/>
        </w:rPr>
      </w:pPr>
    </w:p>
    <w:p w:rsidR="00BA32EA" w:rsidRPr="00BA32EA" w:rsidRDefault="00BA32EA" w:rsidP="00BA32EA">
      <w:pPr>
        <w:pStyle w:val="Default"/>
        <w:rPr>
          <w:rFonts w:asciiTheme="minorHAnsi" w:hAnsiTheme="minorHAnsi" w:cstheme="minorHAnsi"/>
          <w:b/>
          <w:bCs/>
          <w:szCs w:val="26"/>
        </w:rPr>
      </w:pPr>
      <w:r w:rsidRPr="00BA32EA">
        <w:rPr>
          <w:rFonts w:asciiTheme="minorHAnsi" w:hAnsiTheme="minorHAnsi" w:cstheme="minorHAnsi"/>
          <w:b/>
          <w:bCs/>
          <w:szCs w:val="26"/>
        </w:rPr>
        <w:lastRenderedPageBreak/>
        <w:t>AIR TOXICS “HOT SPOTS” PROGRAM</w:t>
      </w:r>
    </w:p>
    <w:p w:rsidR="0033033D" w:rsidRDefault="0033033D" w:rsidP="00BA32EA">
      <w:pPr>
        <w:pStyle w:val="Default"/>
        <w:rPr>
          <w:rFonts w:asciiTheme="minorHAnsi" w:hAnsiTheme="minorHAnsi" w:cstheme="minorHAnsi"/>
          <w:bCs/>
          <w:szCs w:val="26"/>
        </w:rPr>
      </w:pPr>
    </w:p>
    <w:p w:rsidR="00BA32EA" w:rsidRDefault="00BA32EA" w:rsidP="00BA32EA">
      <w:pPr>
        <w:pStyle w:val="Default"/>
        <w:rPr>
          <w:rFonts w:asciiTheme="minorHAnsi" w:hAnsiTheme="minorHAnsi" w:cstheme="minorHAnsi"/>
          <w:bCs/>
          <w:szCs w:val="26"/>
        </w:rPr>
      </w:pPr>
      <w:r>
        <w:rPr>
          <w:rFonts w:asciiTheme="minorHAnsi" w:hAnsiTheme="minorHAnsi" w:cstheme="minorHAnsi"/>
          <w:bCs/>
          <w:szCs w:val="26"/>
        </w:rPr>
        <w:t>The AB 2588 Program (HSC Sections 44300 et seq.) established a process to compile an inventory of air toxics emissions from specified facility categories in California and to assess the potential risks to public health as a result of exposure to those emissions. AB 2588 also requires that the public be notified of facilities whose emissions pose significant health risks. AB 2588 specifies activities that the CARB, the Office of Environmental Health Hazard Assessment (OEHHA), and the districts must carry out to implement the Act. CARB is required to adopt a fee recovery regulation to assess fees on facilities subject to the requirements to ensure that costs to implement and administer the AB 2588 Program. (HSC Section 44380.)</w:t>
      </w:r>
    </w:p>
    <w:p w:rsidR="00BA32EA" w:rsidRDefault="00BA32EA" w:rsidP="00BA32EA">
      <w:pPr>
        <w:pStyle w:val="Default"/>
        <w:rPr>
          <w:rFonts w:asciiTheme="minorHAnsi" w:hAnsiTheme="minorHAnsi" w:cstheme="minorHAnsi"/>
          <w:bCs/>
          <w:szCs w:val="26"/>
        </w:rPr>
      </w:pPr>
    </w:p>
    <w:p w:rsidR="00BA32EA" w:rsidRPr="0033033D" w:rsidRDefault="00BA32EA" w:rsidP="00BA32EA">
      <w:pPr>
        <w:pStyle w:val="Default"/>
        <w:rPr>
          <w:rFonts w:asciiTheme="minorHAnsi" w:hAnsiTheme="minorHAnsi" w:cstheme="minorHAnsi"/>
          <w:bCs/>
          <w:szCs w:val="26"/>
        </w:rPr>
      </w:pPr>
      <w:r>
        <w:rPr>
          <w:rFonts w:asciiTheme="minorHAnsi" w:hAnsiTheme="minorHAnsi" w:cstheme="minorHAnsi"/>
          <w:bCs/>
          <w:szCs w:val="26"/>
        </w:rPr>
        <w:t>This report addresses the statutory requirements of the AB 2588 Program. This report does not seek to add</w:t>
      </w:r>
      <w:r w:rsidR="00D12FA8">
        <w:rPr>
          <w:rFonts w:asciiTheme="minorHAnsi" w:hAnsiTheme="minorHAnsi" w:cstheme="minorHAnsi"/>
          <w:bCs/>
          <w:szCs w:val="26"/>
        </w:rPr>
        <w:t>ress other toxics-related issues</w:t>
      </w:r>
      <w:r>
        <w:rPr>
          <w:rFonts w:asciiTheme="minorHAnsi" w:hAnsiTheme="minorHAnsi" w:cstheme="minorHAnsi"/>
          <w:bCs/>
          <w:szCs w:val="26"/>
        </w:rPr>
        <w:t xml:space="preserve"> handled by staff. For example, the District also addressed air toxics exposures during permitting of new and modified sources of air pollutants. The source permitting process may require issuance of a public notice if the proposed source releases hazardous air pollutants within 1,000 feet of a school. The District also implements State Airborne Toxic Control Measures (ATCMs) and Federal National Emission Standards for Hazardous Air Pollutants (NESHAPs). ATCM and NESHAP requirements are usually implemented through a source permit or equipment registration. During this reporting year, the District has not developed control measures in addition to those required by an ATCM or NESHAP.</w:t>
      </w:r>
    </w:p>
    <w:p w:rsidR="007D7B3B" w:rsidRDefault="007D7B3B" w:rsidP="007D7B3B">
      <w:pPr>
        <w:pStyle w:val="Default"/>
        <w:rPr>
          <w:rFonts w:ascii="Times New Roman" w:hAnsi="Times New Roman" w:cs="Times New Roman"/>
          <w:b/>
          <w:bCs/>
          <w:sz w:val="26"/>
          <w:szCs w:val="26"/>
        </w:rPr>
      </w:pPr>
    </w:p>
    <w:p w:rsidR="007D7B3B" w:rsidRDefault="009D0347" w:rsidP="007D7B3B">
      <w:pPr>
        <w:pStyle w:val="Default"/>
        <w:rPr>
          <w:rFonts w:asciiTheme="minorHAnsi" w:hAnsiTheme="minorHAnsi" w:cstheme="minorHAnsi"/>
          <w:b/>
          <w:bCs/>
          <w:szCs w:val="26"/>
        </w:rPr>
      </w:pPr>
      <w:r>
        <w:rPr>
          <w:rFonts w:asciiTheme="minorHAnsi" w:hAnsiTheme="minorHAnsi" w:cstheme="minorHAnsi"/>
          <w:b/>
          <w:bCs/>
          <w:szCs w:val="26"/>
        </w:rPr>
        <w:t>PROGRAM CATEGORIES OF DISTRICT FACILITIES</w:t>
      </w:r>
    </w:p>
    <w:p w:rsidR="009D0347" w:rsidRDefault="009D0347" w:rsidP="007D7B3B">
      <w:pPr>
        <w:pStyle w:val="Default"/>
        <w:rPr>
          <w:rFonts w:asciiTheme="minorHAnsi" w:hAnsiTheme="minorHAnsi" w:cstheme="minorHAnsi"/>
          <w:b/>
          <w:bCs/>
          <w:szCs w:val="26"/>
        </w:rPr>
      </w:pPr>
    </w:p>
    <w:p w:rsidR="009D0347" w:rsidRDefault="009D0347" w:rsidP="007D7B3B">
      <w:pPr>
        <w:pStyle w:val="Default"/>
        <w:rPr>
          <w:rFonts w:asciiTheme="minorHAnsi" w:hAnsiTheme="minorHAnsi" w:cstheme="minorHAnsi"/>
          <w:bCs/>
          <w:szCs w:val="26"/>
        </w:rPr>
      </w:pPr>
      <w:r>
        <w:rPr>
          <w:rFonts w:asciiTheme="minorHAnsi" w:hAnsiTheme="minorHAnsi" w:cstheme="minorHAnsi"/>
          <w:bCs/>
          <w:szCs w:val="26"/>
        </w:rPr>
        <w:t>Facilities are categorized based on their reporting status in the program. Unless the District is performing an industry-wide survey for a facility category, facilities are categorized based on their reporting status in the program. Facilities subject to the AB 2588 Program are required to either file an emissions inventory plan and report with the local air district or as an alternative the District prioritizes and conducts the risk assessment as part of a permitting action. The District reviews and approves</w:t>
      </w:r>
      <w:r w:rsidR="00421076">
        <w:rPr>
          <w:rFonts w:asciiTheme="minorHAnsi" w:hAnsiTheme="minorHAnsi" w:cstheme="minorHAnsi"/>
          <w:bCs/>
          <w:szCs w:val="26"/>
        </w:rPr>
        <w:t xml:space="preserve"> the plan and reports, and based on the reported emissions, performs a prioritization evaluation (develops a prioritization score for the facility).</w:t>
      </w:r>
    </w:p>
    <w:p w:rsidR="009D0347" w:rsidRDefault="009D0347" w:rsidP="007D7B3B">
      <w:pPr>
        <w:pStyle w:val="Default"/>
        <w:rPr>
          <w:rFonts w:asciiTheme="minorHAnsi" w:hAnsiTheme="minorHAnsi" w:cstheme="minorHAnsi"/>
          <w:bCs/>
          <w:szCs w:val="26"/>
        </w:rPr>
      </w:pPr>
    </w:p>
    <w:p w:rsidR="009D0347" w:rsidRDefault="009D0347" w:rsidP="007D7B3B">
      <w:pPr>
        <w:pStyle w:val="Default"/>
        <w:rPr>
          <w:rFonts w:asciiTheme="minorHAnsi" w:hAnsiTheme="minorHAnsi" w:cstheme="minorHAnsi"/>
          <w:bCs/>
          <w:szCs w:val="26"/>
        </w:rPr>
      </w:pPr>
      <w:r>
        <w:rPr>
          <w:rFonts w:asciiTheme="minorHAnsi" w:hAnsiTheme="minorHAnsi" w:cstheme="minorHAnsi"/>
          <w:bCs/>
          <w:szCs w:val="26"/>
        </w:rPr>
        <w:t xml:space="preserve">If the prioritization score indicates further evaluation is necessary, the facility is required to perform a health risk assessment. If the results from the health risk assessment indicate a potential significant risk to the public, the facility is required to notify the public exposed to the emissions. A facility subject to the public notification requirement then may need to develop a risk reduction plan to lower the emissions below significance levels. At this time there are no facilities identified in the District as posing a significant risk to the public. </w:t>
      </w:r>
    </w:p>
    <w:p w:rsidR="00421076" w:rsidRDefault="00421076" w:rsidP="007D7B3B">
      <w:pPr>
        <w:pStyle w:val="Default"/>
        <w:rPr>
          <w:rFonts w:asciiTheme="minorHAnsi" w:hAnsiTheme="minorHAnsi" w:cstheme="minorHAnsi"/>
          <w:bCs/>
          <w:szCs w:val="26"/>
        </w:rPr>
      </w:pPr>
    </w:p>
    <w:p w:rsidR="00421076" w:rsidRDefault="00421076" w:rsidP="007D7B3B">
      <w:pPr>
        <w:pStyle w:val="Default"/>
        <w:rPr>
          <w:rFonts w:asciiTheme="minorHAnsi" w:hAnsiTheme="minorHAnsi" w:cstheme="minorHAnsi"/>
          <w:bCs/>
          <w:szCs w:val="26"/>
        </w:rPr>
      </w:pPr>
      <w:r>
        <w:rPr>
          <w:rFonts w:asciiTheme="minorHAnsi" w:hAnsiTheme="minorHAnsi" w:cstheme="minorHAnsi"/>
          <w:bCs/>
          <w:szCs w:val="26"/>
        </w:rPr>
        <w:t>As an alternative to this process, the facility can conduct a health risk assessment as part of a permitting action, p</w:t>
      </w:r>
      <w:r w:rsidR="00D12FA8">
        <w:rPr>
          <w:rFonts w:asciiTheme="minorHAnsi" w:hAnsiTheme="minorHAnsi" w:cstheme="minorHAnsi"/>
          <w:bCs/>
          <w:szCs w:val="26"/>
        </w:rPr>
        <w:t>rovided the results identify any</w:t>
      </w:r>
      <w:r>
        <w:rPr>
          <w:rFonts w:asciiTheme="minorHAnsi" w:hAnsiTheme="minorHAnsi" w:cstheme="minorHAnsi"/>
          <w:bCs/>
          <w:szCs w:val="26"/>
        </w:rPr>
        <w:t xml:space="preserve"> significant risk to the public. After complying with the initial reporting requirements, based on the prioritization scores or health risk assessment results, facilities may be required to submit updated reports ev</w:t>
      </w:r>
      <w:r w:rsidR="008B2E32">
        <w:rPr>
          <w:rFonts w:asciiTheme="minorHAnsi" w:hAnsiTheme="minorHAnsi" w:cstheme="minorHAnsi"/>
          <w:bCs/>
          <w:szCs w:val="26"/>
        </w:rPr>
        <w:t>ery four years. The following is a summary of the current facility update categories as identified in the Facilities List in Appendix A. A list of category definitions can be found at the beginning of the facility list in Appendix A.</w:t>
      </w:r>
    </w:p>
    <w:p w:rsidR="008C5617" w:rsidRDefault="008C5617" w:rsidP="007D7B3B">
      <w:pPr>
        <w:pStyle w:val="Default"/>
        <w:rPr>
          <w:rFonts w:asciiTheme="minorHAnsi" w:hAnsiTheme="minorHAnsi" w:cstheme="minorHAnsi"/>
          <w:bCs/>
          <w:szCs w:val="26"/>
        </w:rPr>
      </w:pPr>
    </w:p>
    <w:p w:rsidR="008C5617" w:rsidRDefault="008C5617" w:rsidP="007D7B3B">
      <w:pPr>
        <w:pStyle w:val="Default"/>
        <w:rPr>
          <w:rFonts w:asciiTheme="minorHAnsi" w:hAnsiTheme="minorHAnsi" w:cstheme="minorHAnsi"/>
          <w:bCs/>
          <w:szCs w:val="26"/>
        </w:rPr>
      </w:pPr>
    </w:p>
    <w:p w:rsidR="00746CC4" w:rsidRDefault="00746CC4" w:rsidP="007D7B3B">
      <w:pPr>
        <w:pStyle w:val="Default"/>
        <w:rPr>
          <w:rFonts w:asciiTheme="minorHAnsi" w:hAnsiTheme="minorHAnsi" w:cstheme="minorHAnsi"/>
          <w:b/>
          <w:bCs/>
          <w:szCs w:val="26"/>
        </w:rPr>
      </w:pPr>
    </w:p>
    <w:p w:rsidR="008C5617" w:rsidRDefault="008C5617" w:rsidP="007D7B3B">
      <w:pPr>
        <w:pStyle w:val="Default"/>
        <w:rPr>
          <w:rFonts w:asciiTheme="minorHAnsi" w:hAnsiTheme="minorHAnsi" w:cstheme="minorHAnsi"/>
          <w:b/>
          <w:bCs/>
          <w:szCs w:val="26"/>
        </w:rPr>
      </w:pPr>
      <w:r>
        <w:rPr>
          <w:rFonts w:asciiTheme="minorHAnsi" w:hAnsiTheme="minorHAnsi" w:cstheme="minorHAnsi"/>
          <w:b/>
          <w:bCs/>
          <w:szCs w:val="26"/>
        </w:rPr>
        <w:lastRenderedPageBreak/>
        <w:t>GRAPHIC REPRESENTATION OF THE AB 2588 PROCESS</w:t>
      </w:r>
    </w:p>
    <w:p w:rsidR="008C5617" w:rsidRDefault="008C5617" w:rsidP="007D7B3B">
      <w:pPr>
        <w:pStyle w:val="Default"/>
        <w:rPr>
          <w:rFonts w:asciiTheme="minorHAnsi" w:hAnsiTheme="minorHAnsi" w:cstheme="minorHAnsi"/>
          <w:b/>
          <w:bCs/>
          <w:szCs w:val="26"/>
        </w:rPr>
      </w:pPr>
    </w:p>
    <w:p w:rsidR="008C5617" w:rsidRDefault="00714D38" w:rsidP="007D7B3B">
      <w:pPr>
        <w:pStyle w:val="Default"/>
        <w:rPr>
          <w:rFonts w:asciiTheme="minorHAnsi" w:hAnsiTheme="minorHAnsi" w:cstheme="minorHAnsi"/>
          <w:b/>
          <w:bCs/>
          <w:szCs w:val="26"/>
        </w:rPr>
      </w:pPr>
      <w:r>
        <w:rPr>
          <w:noProof/>
        </w:rPr>
        <w:drawing>
          <wp:inline distT="0" distB="0" distL="0" distR="0">
            <wp:extent cx="5943600" cy="2303780"/>
            <wp:effectExtent l="0" t="0" r="0" b="1270"/>
            <wp:docPr id="5" name="Picture 5" descr="cid:image002.png@01DAFDF2.42E7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AFDF2.42E7040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943600" cy="2303780"/>
                    </a:xfrm>
                    <a:prstGeom prst="rect">
                      <a:avLst/>
                    </a:prstGeom>
                    <a:noFill/>
                    <a:ln>
                      <a:noFill/>
                    </a:ln>
                  </pic:spPr>
                </pic:pic>
              </a:graphicData>
            </a:graphic>
          </wp:inline>
        </w:drawing>
      </w:r>
    </w:p>
    <w:p w:rsidR="008C5617" w:rsidRDefault="008C5617" w:rsidP="007D7B3B">
      <w:pPr>
        <w:pStyle w:val="Default"/>
        <w:rPr>
          <w:rFonts w:asciiTheme="minorHAnsi" w:hAnsiTheme="minorHAnsi" w:cstheme="minorHAnsi"/>
          <w:b/>
          <w:bCs/>
          <w:szCs w:val="26"/>
        </w:rPr>
      </w:pPr>
    </w:p>
    <w:p w:rsidR="008C5617" w:rsidRDefault="008C5617" w:rsidP="007D7B3B">
      <w:pPr>
        <w:pStyle w:val="Default"/>
        <w:rPr>
          <w:rFonts w:asciiTheme="minorHAnsi" w:hAnsiTheme="minorHAnsi" w:cstheme="minorHAnsi"/>
          <w:b/>
          <w:bCs/>
          <w:szCs w:val="26"/>
        </w:rPr>
      </w:pPr>
    </w:p>
    <w:p w:rsidR="008C5617" w:rsidRDefault="00953557" w:rsidP="007D7B3B">
      <w:pPr>
        <w:pStyle w:val="Default"/>
        <w:rPr>
          <w:rFonts w:asciiTheme="minorHAnsi" w:hAnsiTheme="minorHAnsi" w:cstheme="minorHAnsi"/>
          <w:b/>
          <w:bCs/>
          <w:szCs w:val="26"/>
        </w:rPr>
      </w:pPr>
      <w:r>
        <w:rPr>
          <w:rFonts w:asciiTheme="minorHAnsi" w:hAnsiTheme="minorHAnsi" w:cstheme="minorHAnsi"/>
          <w:b/>
          <w:bCs/>
          <w:szCs w:val="26"/>
        </w:rPr>
        <w:t>FACILITY COUNT FOR 2024</w:t>
      </w:r>
    </w:p>
    <w:tbl>
      <w:tblPr>
        <w:tblStyle w:val="TableGrid"/>
        <w:tblW w:w="9895" w:type="dxa"/>
        <w:tblLook w:val="04A0" w:firstRow="1" w:lastRow="0" w:firstColumn="1" w:lastColumn="0" w:noHBand="0" w:noVBand="1"/>
      </w:tblPr>
      <w:tblGrid>
        <w:gridCol w:w="1588"/>
        <w:gridCol w:w="2277"/>
        <w:gridCol w:w="2070"/>
        <w:gridCol w:w="2250"/>
        <w:gridCol w:w="1710"/>
      </w:tblGrid>
      <w:tr w:rsidR="00D5249E" w:rsidTr="00D5249E">
        <w:tc>
          <w:tcPr>
            <w:tcW w:w="1588" w:type="dxa"/>
          </w:tcPr>
          <w:p w:rsidR="00D5249E" w:rsidRPr="008C5617" w:rsidRDefault="00D5249E" w:rsidP="008C5617">
            <w:pPr>
              <w:pStyle w:val="Default"/>
              <w:jc w:val="center"/>
              <w:rPr>
                <w:rFonts w:asciiTheme="minorHAnsi" w:hAnsiTheme="minorHAnsi" w:cstheme="minorHAnsi"/>
                <w:bCs/>
                <w:szCs w:val="26"/>
              </w:rPr>
            </w:pPr>
            <w:r w:rsidRPr="008C5617">
              <w:rPr>
                <w:rFonts w:asciiTheme="minorHAnsi" w:hAnsiTheme="minorHAnsi" w:cstheme="minorHAnsi"/>
                <w:bCs/>
                <w:szCs w:val="26"/>
              </w:rPr>
              <w:t>High</w:t>
            </w:r>
            <w:r>
              <w:rPr>
                <w:rFonts w:asciiTheme="minorHAnsi" w:hAnsiTheme="minorHAnsi" w:cstheme="minorHAnsi"/>
                <w:bCs/>
                <w:szCs w:val="26"/>
              </w:rPr>
              <w:t xml:space="preserve"> Priority</w:t>
            </w:r>
          </w:p>
        </w:tc>
        <w:tc>
          <w:tcPr>
            <w:tcW w:w="2277" w:type="dxa"/>
          </w:tcPr>
          <w:p w:rsidR="00D5249E" w:rsidRPr="008C5617" w:rsidRDefault="00D5249E" w:rsidP="008C5617">
            <w:pPr>
              <w:pStyle w:val="Default"/>
              <w:jc w:val="center"/>
              <w:rPr>
                <w:rFonts w:asciiTheme="minorHAnsi" w:hAnsiTheme="minorHAnsi" w:cstheme="minorHAnsi"/>
                <w:bCs/>
                <w:szCs w:val="26"/>
              </w:rPr>
            </w:pPr>
            <w:r>
              <w:rPr>
                <w:rFonts w:asciiTheme="minorHAnsi" w:hAnsiTheme="minorHAnsi" w:cstheme="minorHAnsi"/>
                <w:bCs/>
                <w:szCs w:val="26"/>
              </w:rPr>
              <w:t>Intermediate Priority</w:t>
            </w:r>
          </w:p>
        </w:tc>
        <w:tc>
          <w:tcPr>
            <w:tcW w:w="2070" w:type="dxa"/>
          </w:tcPr>
          <w:p w:rsidR="00D5249E" w:rsidRPr="008C5617" w:rsidRDefault="00D5249E" w:rsidP="008C5617">
            <w:pPr>
              <w:pStyle w:val="Default"/>
              <w:jc w:val="center"/>
              <w:rPr>
                <w:rFonts w:asciiTheme="minorHAnsi" w:hAnsiTheme="minorHAnsi" w:cstheme="minorHAnsi"/>
                <w:bCs/>
                <w:szCs w:val="26"/>
              </w:rPr>
            </w:pPr>
            <w:r>
              <w:rPr>
                <w:rFonts w:asciiTheme="minorHAnsi" w:hAnsiTheme="minorHAnsi" w:cstheme="minorHAnsi"/>
                <w:bCs/>
                <w:szCs w:val="26"/>
              </w:rPr>
              <w:t>Low Priority</w:t>
            </w:r>
          </w:p>
        </w:tc>
        <w:tc>
          <w:tcPr>
            <w:tcW w:w="2250" w:type="dxa"/>
          </w:tcPr>
          <w:p w:rsidR="00D5249E" w:rsidRPr="008C5617" w:rsidRDefault="00D5249E" w:rsidP="008C5617">
            <w:pPr>
              <w:pStyle w:val="Default"/>
              <w:jc w:val="center"/>
              <w:rPr>
                <w:rFonts w:asciiTheme="minorHAnsi" w:hAnsiTheme="minorHAnsi" w:cstheme="minorHAnsi"/>
                <w:bCs/>
                <w:szCs w:val="26"/>
              </w:rPr>
            </w:pPr>
            <w:r>
              <w:rPr>
                <w:rFonts w:asciiTheme="minorHAnsi" w:hAnsiTheme="minorHAnsi" w:cstheme="minorHAnsi"/>
                <w:bCs/>
                <w:szCs w:val="26"/>
              </w:rPr>
              <w:t>Needs Prioritization</w:t>
            </w:r>
          </w:p>
        </w:tc>
        <w:tc>
          <w:tcPr>
            <w:tcW w:w="1710" w:type="dxa"/>
          </w:tcPr>
          <w:p w:rsidR="00D5249E" w:rsidRPr="008C5617" w:rsidRDefault="00D5249E" w:rsidP="008C5617">
            <w:pPr>
              <w:pStyle w:val="Default"/>
              <w:jc w:val="center"/>
              <w:rPr>
                <w:rFonts w:asciiTheme="minorHAnsi" w:hAnsiTheme="minorHAnsi" w:cstheme="minorHAnsi"/>
                <w:bCs/>
                <w:szCs w:val="26"/>
              </w:rPr>
            </w:pPr>
            <w:r>
              <w:rPr>
                <w:rFonts w:asciiTheme="minorHAnsi" w:hAnsiTheme="minorHAnsi" w:cstheme="minorHAnsi"/>
                <w:bCs/>
                <w:szCs w:val="26"/>
              </w:rPr>
              <w:t>Total</w:t>
            </w:r>
          </w:p>
        </w:tc>
      </w:tr>
      <w:tr w:rsidR="00D5249E" w:rsidTr="00D5249E">
        <w:tc>
          <w:tcPr>
            <w:tcW w:w="1588" w:type="dxa"/>
          </w:tcPr>
          <w:p w:rsidR="00D5249E" w:rsidRPr="00BF49C9" w:rsidRDefault="00D5249E" w:rsidP="008C5617">
            <w:pPr>
              <w:pStyle w:val="Default"/>
              <w:jc w:val="center"/>
              <w:rPr>
                <w:rFonts w:asciiTheme="minorHAnsi" w:hAnsiTheme="minorHAnsi" w:cstheme="minorHAnsi"/>
                <w:b/>
                <w:bCs/>
                <w:szCs w:val="26"/>
              </w:rPr>
            </w:pPr>
            <w:r w:rsidRPr="00BF49C9">
              <w:rPr>
                <w:rFonts w:asciiTheme="minorHAnsi" w:hAnsiTheme="minorHAnsi" w:cstheme="minorHAnsi"/>
                <w:b/>
                <w:bCs/>
                <w:szCs w:val="26"/>
              </w:rPr>
              <w:t>0</w:t>
            </w:r>
          </w:p>
        </w:tc>
        <w:tc>
          <w:tcPr>
            <w:tcW w:w="2277" w:type="dxa"/>
          </w:tcPr>
          <w:p w:rsidR="00D5249E" w:rsidRPr="00BF49C9" w:rsidRDefault="00D7593F" w:rsidP="008C5617">
            <w:pPr>
              <w:pStyle w:val="Default"/>
              <w:jc w:val="center"/>
              <w:rPr>
                <w:rFonts w:asciiTheme="minorHAnsi" w:hAnsiTheme="minorHAnsi" w:cstheme="minorHAnsi"/>
                <w:b/>
                <w:bCs/>
                <w:szCs w:val="26"/>
              </w:rPr>
            </w:pPr>
            <w:r>
              <w:rPr>
                <w:rFonts w:asciiTheme="minorHAnsi" w:hAnsiTheme="minorHAnsi" w:cstheme="minorHAnsi"/>
                <w:b/>
                <w:bCs/>
                <w:szCs w:val="26"/>
              </w:rPr>
              <w:t>48</w:t>
            </w:r>
          </w:p>
        </w:tc>
        <w:tc>
          <w:tcPr>
            <w:tcW w:w="2070" w:type="dxa"/>
          </w:tcPr>
          <w:p w:rsidR="00D5249E" w:rsidRPr="00BF49C9" w:rsidRDefault="00D7593F" w:rsidP="008C5617">
            <w:pPr>
              <w:pStyle w:val="Default"/>
              <w:jc w:val="center"/>
              <w:rPr>
                <w:rFonts w:asciiTheme="minorHAnsi" w:hAnsiTheme="minorHAnsi" w:cstheme="minorHAnsi"/>
                <w:b/>
                <w:bCs/>
                <w:szCs w:val="26"/>
              </w:rPr>
            </w:pPr>
            <w:r>
              <w:rPr>
                <w:rFonts w:asciiTheme="minorHAnsi" w:hAnsiTheme="minorHAnsi" w:cstheme="minorHAnsi"/>
                <w:b/>
                <w:bCs/>
                <w:szCs w:val="26"/>
              </w:rPr>
              <w:t>108</w:t>
            </w:r>
          </w:p>
        </w:tc>
        <w:tc>
          <w:tcPr>
            <w:tcW w:w="2250" w:type="dxa"/>
          </w:tcPr>
          <w:p w:rsidR="00D5249E" w:rsidRPr="00BF49C9" w:rsidRDefault="003E1AEF" w:rsidP="008C5617">
            <w:pPr>
              <w:pStyle w:val="Default"/>
              <w:jc w:val="center"/>
              <w:rPr>
                <w:rFonts w:asciiTheme="minorHAnsi" w:hAnsiTheme="minorHAnsi" w:cstheme="minorHAnsi"/>
                <w:b/>
                <w:bCs/>
                <w:szCs w:val="26"/>
              </w:rPr>
            </w:pPr>
            <w:r w:rsidRPr="00BF49C9">
              <w:rPr>
                <w:rFonts w:asciiTheme="minorHAnsi" w:hAnsiTheme="minorHAnsi" w:cstheme="minorHAnsi"/>
                <w:b/>
                <w:bCs/>
                <w:szCs w:val="26"/>
              </w:rPr>
              <w:t>2</w:t>
            </w:r>
          </w:p>
        </w:tc>
        <w:tc>
          <w:tcPr>
            <w:tcW w:w="1710" w:type="dxa"/>
          </w:tcPr>
          <w:p w:rsidR="00D5249E" w:rsidRPr="00BF49C9" w:rsidRDefault="003E1AEF" w:rsidP="008C5617">
            <w:pPr>
              <w:pStyle w:val="Default"/>
              <w:jc w:val="center"/>
              <w:rPr>
                <w:rFonts w:asciiTheme="minorHAnsi" w:hAnsiTheme="minorHAnsi" w:cstheme="minorHAnsi"/>
                <w:b/>
                <w:bCs/>
                <w:szCs w:val="26"/>
              </w:rPr>
            </w:pPr>
            <w:r w:rsidRPr="00BF49C9">
              <w:rPr>
                <w:rFonts w:asciiTheme="minorHAnsi" w:hAnsiTheme="minorHAnsi" w:cstheme="minorHAnsi"/>
                <w:b/>
                <w:bCs/>
                <w:szCs w:val="26"/>
              </w:rPr>
              <w:t>158</w:t>
            </w:r>
          </w:p>
        </w:tc>
      </w:tr>
    </w:tbl>
    <w:p w:rsidR="008C5617" w:rsidRDefault="008C5617" w:rsidP="007D7B3B">
      <w:pPr>
        <w:pStyle w:val="Default"/>
        <w:rPr>
          <w:rFonts w:asciiTheme="minorHAnsi" w:hAnsiTheme="minorHAnsi" w:cstheme="minorHAnsi"/>
          <w:bCs/>
          <w:szCs w:val="26"/>
        </w:rPr>
      </w:pPr>
      <w:r>
        <w:rPr>
          <w:rFonts w:asciiTheme="minorHAnsi" w:hAnsiTheme="minorHAnsi" w:cstheme="minorHAnsi"/>
          <w:bCs/>
          <w:szCs w:val="26"/>
        </w:rPr>
        <w:t>District staff annually reviews facility status as indicated on the list in Appendix A of this report. The above facility count may vary each year due to closures and/or addition of new facilities. T</w:t>
      </w:r>
      <w:r w:rsidR="00953557">
        <w:rPr>
          <w:rFonts w:asciiTheme="minorHAnsi" w:hAnsiTheme="minorHAnsi" w:cstheme="minorHAnsi"/>
          <w:bCs/>
          <w:szCs w:val="26"/>
        </w:rPr>
        <w:t>he total facility count for 2024</w:t>
      </w:r>
      <w:r w:rsidR="00BF49C9">
        <w:rPr>
          <w:rFonts w:asciiTheme="minorHAnsi" w:hAnsiTheme="minorHAnsi" w:cstheme="minorHAnsi"/>
          <w:bCs/>
          <w:szCs w:val="26"/>
        </w:rPr>
        <w:t xml:space="preserve"> is 158</w:t>
      </w:r>
      <w:r>
        <w:rPr>
          <w:rFonts w:asciiTheme="minorHAnsi" w:hAnsiTheme="minorHAnsi" w:cstheme="minorHAnsi"/>
          <w:bCs/>
          <w:szCs w:val="26"/>
        </w:rPr>
        <w:t>.</w:t>
      </w:r>
    </w:p>
    <w:p w:rsidR="008C5617" w:rsidRDefault="008C5617" w:rsidP="007D7B3B">
      <w:pPr>
        <w:pStyle w:val="Default"/>
        <w:rPr>
          <w:rFonts w:asciiTheme="minorHAnsi" w:hAnsiTheme="minorHAnsi" w:cstheme="minorHAnsi"/>
          <w:bCs/>
          <w:szCs w:val="26"/>
        </w:rPr>
      </w:pPr>
    </w:p>
    <w:p w:rsidR="008C5617" w:rsidRDefault="008C5617" w:rsidP="007D7B3B">
      <w:pPr>
        <w:pStyle w:val="Default"/>
        <w:rPr>
          <w:rFonts w:asciiTheme="minorHAnsi" w:hAnsiTheme="minorHAnsi" w:cstheme="minorHAnsi"/>
          <w:b/>
          <w:bCs/>
          <w:szCs w:val="26"/>
        </w:rPr>
      </w:pPr>
      <w:r>
        <w:rPr>
          <w:rFonts w:asciiTheme="minorHAnsi" w:hAnsiTheme="minorHAnsi" w:cstheme="minorHAnsi"/>
          <w:b/>
          <w:bCs/>
          <w:szCs w:val="26"/>
        </w:rPr>
        <w:t>QUADRENNIAL UPDATE SUMMARY</w:t>
      </w:r>
    </w:p>
    <w:p w:rsidR="008C5617" w:rsidRDefault="008C5617" w:rsidP="007D7B3B">
      <w:pPr>
        <w:pStyle w:val="Default"/>
        <w:rPr>
          <w:rFonts w:asciiTheme="minorHAnsi" w:hAnsiTheme="minorHAnsi" w:cstheme="minorHAnsi"/>
          <w:b/>
          <w:bCs/>
          <w:szCs w:val="26"/>
        </w:rPr>
      </w:pPr>
    </w:p>
    <w:p w:rsidR="008C5617" w:rsidRDefault="00E66369" w:rsidP="007D7B3B">
      <w:pPr>
        <w:pStyle w:val="Default"/>
        <w:rPr>
          <w:rFonts w:asciiTheme="minorHAnsi" w:hAnsiTheme="minorHAnsi" w:cstheme="minorHAnsi"/>
          <w:bCs/>
          <w:szCs w:val="26"/>
        </w:rPr>
      </w:pPr>
      <w:r>
        <w:rPr>
          <w:rFonts w:asciiTheme="minorHAnsi" w:hAnsiTheme="minorHAnsi" w:cstheme="minorHAnsi"/>
          <w:bCs/>
          <w:szCs w:val="26"/>
        </w:rPr>
        <w:t>Facilities</w:t>
      </w:r>
      <w:r w:rsidR="008C5617">
        <w:rPr>
          <w:rFonts w:asciiTheme="minorHAnsi" w:hAnsiTheme="minorHAnsi" w:cstheme="minorHAnsi"/>
          <w:bCs/>
          <w:szCs w:val="26"/>
        </w:rPr>
        <w:t xml:space="preserve"> that have a high or intermediate ranking are required to submit updates every four years (called “Quadrennial Update”) to allow the District to evaluate their current status.</w:t>
      </w:r>
    </w:p>
    <w:p w:rsidR="008C5617" w:rsidRDefault="008C5617" w:rsidP="007D7B3B">
      <w:pPr>
        <w:pStyle w:val="Default"/>
        <w:rPr>
          <w:rFonts w:asciiTheme="minorHAnsi" w:hAnsiTheme="minorHAnsi" w:cstheme="minorHAnsi"/>
          <w:bCs/>
          <w:szCs w:val="26"/>
        </w:rPr>
      </w:pPr>
    </w:p>
    <w:p w:rsidR="008C5617" w:rsidRDefault="008C5617" w:rsidP="007D7B3B">
      <w:pPr>
        <w:pStyle w:val="Default"/>
        <w:rPr>
          <w:rFonts w:asciiTheme="minorHAnsi" w:hAnsiTheme="minorHAnsi" w:cstheme="minorHAnsi"/>
          <w:b/>
          <w:bCs/>
          <w:szCs w:val="26"/>
        </w:rPr>
      </w:pPr>
      <w:r>
        <w:rPr>
          <w:rFonts w:asciiTheme="minorHAnsi" w:hAnsiTheme="minorHAnsi" w:cstheme="minorHAnsi"/>
          <w:b/>
          <w:bCs/>
          <w:szCs w:val="26"/>
        </w:rPr>
        <w:t>DEVELOPMENT OF CONTRAL MEASURES</w:t>
      </w:r>
    </w:p>
    <w:p w:rsidR="008C5617" w:rsidRDefault="008C5617" w:rsidP="007D7B3B">
      <w:pPr>
        <w:pStyle w:val="Default"/>
        <w:rPr>
          <w:rFonts w:asciiTheme="minorHAnsi" w:hAnsiTheme="minorHAnsi" w:cstheme="minorHAnsi"/>
          <w:b/>
          <w:bCs/>
          <w:szCs w:val="26"/>
        </w:rPr>
      </w:pPr>
    </w:p>
    <w:p w:rsidR="008C5617" w:rsidRDefault="008C5617" w:rsidP="007D7B3B">
      <w:pPr>
        <w:pStyle w:val="Default"/>
        <w:rPr>
          <w:rFonts w:asciiTheme="minorHAnsi" w:hAnsiTheme="minorHAnsi" w:cstheme="minorHAnsi"/>
          <w:bCs/>
          <w:szCs w:val="26"/>
        </w:rPr>
      </w:pPr>
      <w:r>
        <w:rPr>
          <w:rFonts w:asciiTheme="minorHAnsi" w:hAnsiTheme="minorHAnsi" w:cstheme="minorHAnsi"/>
          <w:bCs/>
          <w:szCs w:val="26"/>
        </w:rPr>
        <w:t>During this reporting period, the District has continued to work with affected sources to comply with the U.S. Environmental Protection Agency National Emission Standards for Hazardous Air Pollutants (NESHAPs) at area sources. By State law, NESHAPs that do not have a corresponding Airborne Toxic Control Measure (ATCM) become ATCMs for the State. Area sources are smaller sources such as auto body shops, metal fabricators, paint manufacturers and various other spray coating operations.</w:t>
      </w:r>
    </w:p>
    <w:p w:rsidR="008C5617" w:rsidRDefault="008C5617" w:rsidP="007D7B3B">
      <w:pPr>
        <w:pStyle w:val="Default"/>
        <w:rPr>
          <w:rFonts w:asciiTheme="minorHAnsi" w:hAnsiTheme="minorHAnsi" w:cstheme="minorHAnsi"/>
          <w:bCs/>
          <w:szCs w:val="26"/>
        </w:rPr>
      </w:pPr>
    </w:p>
    <w:p w:rsidR="008C5617" w:rsidRDefault="008C5617" w:rsidP="007D7B3B">
      <w:pPr>
        <w:pStyle w:val="Default"/>
        <w:rPr>
          <w:rFonts w:asciiTheme="minorHAnsi" w:hAnsiTheme="minorHAnsi" w:cstheme="minorHAnsi"/>
          <w:bCs/>
          <w:szCs w:val="26"/>
        </w:rPr>
      </w:pPr>
      <w:r>
        <w:rPr>
          <w:rFonts w:asciiTheme="minorHAnsi" w:hAnsiTheme="minorHAnsi" w:cstheme="minorHAnsi"/>
          <w:bCs/>
          <w:szCs w:val="26"/>
        </w:rPr>
        <w:t>NESHAPs, Subpart HHHHHH is a federal Area Source regulation to reduce toxic air contaminants, called Haz</w:t>
      </w:r>
      <w:r w:rsidR="00E66369">
        <w:rPr>
          <w:rFonts w:asciiTheme="minorHAnsi" w:hAnsiTheme="minorHAnsi" w:cstheme="minorHAnsi"/>
          <w:bCs/>
          <w:szCs w:val="26"/>
        </w:rPr>
        <w:t>ardous Air Pollutants or HAPs, from spray coating in the auto body industry and other miscellaneous metal coating operations. The District staff continue to work with new and existing spray coating sources to ensure compliance with the federal regulations.</w:t>
      </w:r>
    </w:p>
    <w:p w:rsidR="00E66369" w:rsidRDefault="00E66369" w:rsidP="007D7B3B">
      <w:pPr>
        <w:pStyle w:val="Default"/>
        <w:rPr>
          <w:rFonts w:asciiTheme="minorHAnsi" w:hAnsiTheme="minorHAnsi" w:cstheme="minorHAnsi"/>
          <w:bCs/>
          <w:szCs w:val="26"/>
        </w:rPr>
      </w:pPr>
    </w:p>
    <w:p w:rsidR="00E66369" w:rsidRPr="008C5617" w:rsidRDefault="00E66369" w:rsidP="007D7B3B">
      <w:pPr>
        <w:pStyle w:val="Default"/>
        <w:rPr>
          <w:rFonts w:asciiTheme="minorHAnsi" w:hAnsiTheme="minorHAnsi" w:cstheme="minorHAnsi"/>
          <w:bCs/>
          <w:szCs w:val="26"/>
        </w:rPr>
      </w:pPr>
      <w:r>
        <w:rPr>
          <w:rFonts w:asciiTheme="minorHAnsi" w:hAnsiTheme="minorHAnsi" w:cstheme="minorHAnsi"/>
          <w:bCs/>
          <w:szCs w:val="26"/>
        </w:rPr>
        <w:t>NESHAPs, Subpart ZZZZ is a federal Area Source regulation to reduce HAPs from stationary reciprocating internal combustion engines. This regulation affects both spark-ignited (gasoline, natural gas and LPG) and compression ignition (diesel) engines. Most commercial, institutional, and residential emergency engines are exempt for this regulation; however, larger industrial and</w:t>
      </w:r>
      <w:r w:rsidR="00D12FA8">
        <w:rPr>
          <w:rFonts w:asciiTheme="minorHAnsi" w:hAnsiTheme="minorHAnsi" w:cstheme="minorHAnsi"/>
          <w:bCs/>
          <w:szCs w:val="26"/>
        </w:rPr>
        <w:t xml:space="preserve"> agricultural engines are subject</w:t>
      </w:r>
      <w:r>
        <w:rPr>
          <w:rFonts w:asciiTheme="minorHAnsi" w:hAnsiTheme="minorHAnsi" w:cstheme="minorHAnsi"/>
          <w:bCs/>
          <w:szCs w:val="26"/>
        </w:rPr>
        <w:t xml:space="preserve"> to control requirements to reduce HAPs from the incomplete combustion of fuel. Regulatory requirements (primarily maintenance provisions) of this federal </w:t>
      </w:r>
      <w:r>
        <w:rPr>
          <w:rFonts w:asciiTheme="minorHAnsi" w:hAnsiTheme="minorHAnsi" w:cstheme="minorHAnsi"/>
          <w:bCs/>
          <w:szCs w:val="26"/>
        </w:rPr>
        <w:lastRenderedPageBreak/>
        <w:t>regulation have been incorporated into facility permits. At this time, the District has not identified any source</w:t>
      </w:r>
      <w:r w:rsidR="00D12FA8">
        <w:rPr>
          <w:rFonts w:asciiTheme="minorHAnsi" w:hAnsiTheme="minorHAnsi" w:cstheme="minorHAnsi"/>
          <w:bCs/>
          <w:szCs w:val="26"/>
        </w:rPr>
        <w:t>s</w:t>
      </w:r>
      <w:r>
        <w:rPr>
          <w:rFonts w:asciiTheme="minorHAnsi" w:hAnsiTheme="minorHAnsi" w:cstheme="minorHAnsi"/>
          <w:bCs/>
          <w:szCs w:val="26"/>
        </w:rPr>
        <w:t xml:space="preserve"> that require additional controls beyond what is currently permitted to comply with the regulations. Prime engines require an annual source test to demonstrate compliance and the subject engines have been or are scheduled to be tested annually.</w:t>
      </w:r>
    </w:p>
    <w:p w:rsidR="007D7B3B" w:rsidRDefault="007D7B3B" w:rsidP="007D7B3B">
      <w:pPr>
        <w:pStyle w:val="Default"/>
        <w:rPr>
          <w:rFonts w:ascii="Times New Roman" w:hAnsi="Times New Roman" w:cs="Times New Roman"/>
          <w:b/>
          <w:bCs/>
          <w:sz w:val="26"/>
          <w:szCs w:val="26"/>
        </w:rPr>
      </w:pPr>
    </w:p>
    <w:p w:rsidR="00E66369" w:rsidRDefault="00E66369" w:rsidP="007D7B3B">
      <w:pPr>
        <w:pStyle w:val="Default"/>
        <w:rPr>
          <w:rFonts w:asciiTheme="minorHAnsi" w:hAnsiTheme="minorHAnsi" w:cstheme="minorHAnsi"/>
          <w:b/>
          <w:bCs/>
        </w:rPr>
      </w:pPr>
      <w:r>
        <w:rPr>
          <w:rFonts w:asciiTheme="minorHAnsi" w:hAnsiTheme="minorHAnsi" w:cstheme="minorHAnsi"/>
          <w:b/>
          <w:bCs/>
        </w:rPr>
        <w:t>AB 2588 PROGRAM FEES</w:t>
      </w:r>
    </w:p>
    <w:p w:rsidR="00E66369" w:rsidRDefault="00E66369" w:rsidP="007D7B3B">
      <w:pPr>
        <w:pStyle w:val="Default"/>
        <w:rPr>
          <w:rFonts w:asciiTheme="minorHAnsi" w:hAnsiTheme="minorHAnsi" w:cstheme="minorHAnsi"/>
          <w:b/>
          <w:bCs/>
        </w:rPr>
      </w:pPr>
    </w:p>
    <w:p w:rsidR="00E66369" w:rsidRDefault="00E66369" w:rsidP="007D7B3B">
      <w:pPr>
        <w:pStyle w:val="Default"/>
        <w:rPr>
          <w:rFonts w:asciiTheme="minorHAnsi" w:hAnsiTheme="minorHAnsi" w:cstheme="minorHAnsi"/>
          <w:bCs/>
        </w:rPr>
      </w:pPr>
      <w:r>
        <w:rPr>
          <w:rFonts w:asciiTheme="minorHAnsi" w:hAnsiTheme="minorHAnsi" w:cstheme="minorHAnsi"/>
          <w:bCs/>
        </w:rPr>
        <w:t>Program costs may be recovered by assessing a fee to subject facilities pursuant to District Rule 506: Air Toxic’s Program Fees. The District is required to pay a fee to the State to cover CARB’s costs. State fees are assessed by the District as a straight pass-through to the facility. The District is also authorized by District Rule 506 to assess fees to cover local costs.</w:t>
      </w:r>
    </w:p>
    <w:p w:rsidR="00E66369" w:rsidRDefault="00E66369" w:rsidP="007D7B3B">
      <w:pPr>
        <w:pStyle w:val="Default"/>
        <w:rPr>
          <w:rFonts w:asciiTheme="minorHAnsi" w:hAnsiTheme="minorHAnsi" w:cstheme="minorHAnsi"/>
          <w:bCs/>
        </w:rPr>
      </w:pPr>
    </w:p>
    <w:p w:rsidR="00E66369" w:rsidRDefault="00E66369" w:rsidP="007D7B3B">
      <w:pPr>
        <w:pStyle w:val="Default"/>
        <w:rPr>
          <w:rFonts w:asciiTheme="minorHAnsi" w:hAnsiTheme="minorHAnsi" w:cstheme="minorHAnsi"/>
          <w:bCs/>
        </w:rPr>
      </w:pPr>
      <w:r>
        <w:rPr>
          <w:rFonts w:asciiTheme="minorHAnsi" w:hAnsiTheme="minorHAnsi" w:cstheme="minorHAnsi"/>
          <w:bCs/>
        </w:rPr>
        <w:t>State costs are allocated among the d</w:t>
      </w:r>
      <w:r w:rsidR="00280513">
        <w:rPr>
          <w:rFonts w:asciiTheme="minorHAnsi" w:hAnsiTheme="minorHAnsi" w:cstheme="minorHAnsi"/>
          <w:bCs/>
        </w:rPr>
        <w:t>istricts us</w:t>
      </w:r>
      <w:r>
        <w:rPr>
          <w:rFonts w:asciiTheme="minorHAnsi" w:hAnsiTheme="minorHAnsi" w:cstheme="minorHAnsi"/>
          <w:bCs/>
        </w:rPr>
        <w:t xml:space="preserve">ing a </w:t>
      </w:r>
      <w:r w:rsidR="00280513">
        <w:rPr>
          <w:rFonts w:asciiTheme="minorHAnsi" w:hAnsiTheme="minorHAnsi" w:cstheme="minorHAnsi"/>
          <w:bCs/>
        </w:rPr>
        <w:t>formula</w:t>
      </w:r>
      <w:r>
        <w:rPr>
          <w:rFonts w:asciiTheme="minorHAnsi" w:hAnsiTheme="minorHAnsi" w:cstheme="minorHAnsi"/>
          <w:bCs/>
        </w:rPr>
        <w:t xml:space="preserve"> considering the number of </w:t>
      </w:r>
      <w:r w:rsidR="00280513">
        <w:rPr>
          <w:rFonts w:asciiTheme="minorHAnsi" w:hAnsiTheme="minorHAnsi" w:cstheme="minorHAnsi"/>
          <w:bCs/>
        </w:rPr>
        <w:t>facilities</w:t>
      </w:r>
      <w:r>
        <w:rPr>
          <w:rFonts w:asciiTheme="minorHAnsi" w:hAnsiTheme="minorHAnsi" w:cstheme="minorHAnsi"/>
          <w:bCs/>
        </w:rPr>
        <w:t xml:space="preserve"> in each of the progra</w:t>
      </w:r>
      <w:r w:rsidR="00280513">
        <w:rPr>
          <w:rFonts w:asciiTheme="minorHAnsi" w:hAnsiTheme="minorHAnsi" w:cstheme="minorHAnsi"/>
          <w:bCs/>
        </w:rPr>
        <w:t>m categories and resource indices</w:t>
      </w:r>
      <w:r>
        <w:rPr>
          <w:rFonts w:asciiTheme="minorHAnsi" w:hAnsiTheme="minorHAnsi" w:cstheme="minorHAnsi"/>
          <w:bCs/>
        </w:rPr>
        <w:t xml:space="preserve"> and are based on facility data received from the districts</w:t>
      </w:r>
      <w:r w:rsidR="00280513">
        <w:rPr>
          <w:rFonts w:asciiTheme="minorHAnsi" w:hAnsiTheme="minorHAnsi" w:cstheme="minorHAnsi"/>
          <w:bCs/>
        </w:rPr>
        <w:t xml:space="preserve"> before September 1, 2023.</w:t>
      </w:r>
    </w:p>
    <w:p w:rsidR="00280513" w:rsidRDefault="00280513" w:rsidP="007D7B3B">
      <w:pPr>
        <w:pStyle w:val="Default"/>
        <w:rPr>
          <w:rFonts w:asciiTheme="minorHAnsi" w:hAnsiTheme="minorHAnsi" w:cstheme="minorHAnsi"/>
          <w:bCs/>
        </w:rPr>
      </w:pPr>
    </w:p>
    <w:p w:rsidR="00280513" w:rsidRDefault="00280513" w:rsidP="007D7B3B">
      <w:pPr>
        <w:pStyle w:val="Default"/>
        <w:rPr>
          <w:rFonts w:asciiTheme="minorHAnsi" w:hAnsiTheme="minorHAnsi" w:cstheme="minorHAnsi"/>
          <w:b/>
          <w:bCs/>
        </w:rPr>
      </w:pPr>
      <w:r>
        <w:rPr>
          <w:rFonts w:asciiTheme="minorHAnsi" w:hAnsiTheme="minorHAnsi" w:cstheme="minorHAnsi"/>
          <w:b/>
          <w:bCs/>
        </w:rPr>
        <w:t>UPDATE TO OEHHA RISK ASSESSMENT GUIDELINES</w:t>
      </w:r>
    </w:p>
    <w:p w:rsidR="00280513" w:rsidRDefault="00280513" w:rsidP="007D7B3B">
      <w:pPr>
        <w:pStyle w:val="Default"/>
        <w:rPr>
          <w:rFonts w:asciiTheme="minorHAnsi" w:hAnsiTheme="minorHAnsi" w:cstheme="minorHAnsi"/>
          <w:b/>
          <w:bCs/>
        </w:rPr>
      </w:pPr>
    </w:p>
    <w:p w:rsidR="00280513" w:rsidRDefault="00280513" w:rsidP="007D7B3B">
      <w:pPr>
        <w:pStyle w:val="Default"/>
        <w:rPr>
          <w:rFonts w:asciiTheme="minorHAnsi" w:hAnsiTheme="minorHAnsi" w:cstheme="minorHAnsi"/>
          <w:bCs/>
        </w:rPr>
      </w:pPr>
      <w:r>
        <w:rPr>
          <w:rFonts w:asciiTheme="minorHAnsi" w:hAnsiTheme="minorHAnsi" w:cstheme="minorHAnsi"/>
          <w:bCs/>
        </w:rPr>
        <w:t xml:space="preserve">The passage of the Children’s Health Protection Act of 1999 (SB 25, Stats. 1999) required the Office of Environmental Health Hazard Assessment (OEHHA) to re-evaluate the risk assessment methodologies to ensure infants and children are explicitly addressed in assessing risk, In the last decade, advances in science have shown that early-life exposures to air toxics contribute to an increased lifetime risk of developing cancer, other adverse health effects, compared to exposures that </w:t>
      </w:r>
      <w:r w:rsidR="00D12FA8">
        <w:rPr>
          <w:rFonts w:asciiTheme="minorHAnsi" w:hAnsiTheme="minorHAnsi" w:cstheme="minorHAnsi"/>
          <w:bCs/>
        </w:rPr>
        <w:t>occur</w:t>
      </w:r>
      <w:r>
        <w:rPr>
          <w:rFonts w:asciiTheme="minorHAnsi" w:hAnsiTheme="minorHAnsi" w:cstheme="minorHAnsi"/>
          <w:bCs/>
        </w:rPr>
        <w:t xml:space="preserve"> in adulthood. On March 6, 2015, OEHHA adopted revised guidelines to address this greater sensitivity and incorporates the most recent data on childhood and adult exposure to air toxics. At their July 23, 2015 meeting, the Air Resources Board (working with CAPCOA) adopted Risk Management Guidance implementing the new guidelines. </w:t>
      </w:r>
    </w:p>
    <w:p w:rsidR="00280513" w:rsidRDefault="00280513" w:rsidP="007D7B3B">
      <w:pPr>
        <w:pStyle w:val="Default"/>
        <w:rPr>
          <w:rFonts w:asciiTheme="minorHAnsi" w:hAnsiTheme="minorHAnsi" w:cstheme="minorHAnsi"/>
          <w:bCs/>
        </w:rPr>
      </w:pPr>
    </w:p>
    <w:p w:rsidR="00280513" w:rsidRDefault="00280513" w:rsidP="007D7B3B">
      <w:pPr>
        <w:pStyle w:val="Default"/>
        <w:rPr>
          <w:rFonts w:asciiTheme="minorHAnsi" w:hAnsiTheme="minorHAnsi" w:cstheme="minorHAnsi"/>
          <w:bCs/>
        </w:rPr>
      </w:pPr>
      <w:r>
        <w:rPr>
          <w:rFonts w:asciiTheme="minorHAnsi" w:hAnsiTheme="minorHAnsi" w:cstheme="minorHAnsi"/>
          <w:bCs/>
        </w:rPr>
        <w:t>The District now reviews most facilities’ priority during the permit evaluation process. The facilities that are reviewed during the permit evaluation process are evaluated based on potential to emit. If a facility is exempt form AB 2588 based o</w:t>
      </w:r>
      <w:r w:rsidR="00D12FA8">
        <w:rPr>
          <w:rFonts w:asciiTheme="minorHAnsi" w:hAnsiTheme="minorHAnsi" w:cstheme="minorHAnsi"/>
          <w:bCs/>
        </w:rPr>
        <w:t>n potential to emit or is subject</w:t>
      </w:r>
      <w:r>
        <w:rPr>
          <w:rFonts w:asciiTheme="minorHAnsi" w:hAnsiTheme="minorHAnsi" w:cstheme="minorHAnsi"/>
          <w:bCs/>
        </w:rPr>
        <w:t xml:space="preserve"> to AB 2588 and a low priority, no further action is taken under the AB 2588 program for that facility until they submit an application to modify their permit. If a facility is reviewed under AB 2588 based on potential to emit is determined to be an intermediate priority, the facility is entered into the annual emissions inventory and toxics emissions are reported after the first year of operation and at least every four years after. If a facility is reviewed under AB 2588 based on potential to emit</w:t>
      </w:r>
      <w:r w:rsidR="002F67A1">
        <w:rPr>
          <w:rFonts w:asciiTheme="minorHAnsi" w:hAnsiTheme="minorHAnsi" w:cstheme="minorHAnsi"/>
          <w:bCs/>
        </w:rPr>
        <w:t xml:space="preserve"> is determined to be a high priority, the facility is entered into the annual emission inventory and toxic emissions are reported annually. If the facil</w:t>
      </w:r>
      <w:r w:rsidR="00D12FA8">
        <w:rPr>
          <w:rFonts w:asciiTheme="minorHAnsi" w:hAnsiTheme="minorHAnsi" w:cstheme="minorHAnsi"/>
          <w:bCs/>
        </w:rPr>
        <w:t>ity’s actual emissions result is</w:t>
      </w:r>
      <w:r w:rsidR="002F67A1">
        <w:rPr>
          <w:rFonts w:asciiTheme="minorHAnsi" w:hAnsiTheme="minorHAnsi" w:cstheme="minorHAnsi"/>
          <w:bCs/>
        </w:rPr>
        <w:t xml:space="preserve"> a high priority, the facility will be required to pay a state AB 2588 fees and submit an HRA, unless it’s an industrywide facility. </w:t>
      </w:r>
    </w:p>
    <w:p w:rsidR="002F67A1" w:rsidRDefault="002F67A1" w:rsidP="007D7B3B">
      <w:pPr>
        <w:pStyle w:val="Default"/>
        <w:rPr>
          <w:rFonts w:asciiTheme="minorHAnsi" w:hAnsiTheme="minorHAnsi" w:cstheme="minorHAnsi"/>
          <w:bCs/>
        </w:rPr>
      </w:pPr>
    </w:p>
    <w:p w:rsidR="002F67A1" w:rsidRDefault="002F67A1" w:rsidP="007D7B3B">
      <w:pPr>
        <w:pStyle w:val="Default"/>
        <w:rPr>
          <w:rFonts w:asciiTheme="minorHAnsi" w:hAnsiTheme="minorHAnsi" w:cstheme="minorHAnsi"/>
          <w:bCs/>
        </w:rPr>
      </w:pPr>
      <w:r>
        <w:rPr>
          <w:rFonts w:asciiTheme="minorHAnsi" w:hAnsiTheme="minorHAnsi" w:cstheme="minorHAnsi"/>
          <w:bCs/>
        </w:rPr>
        <w:t>Facilities that submit their own emission inventory plan and report and are prioritized as intermediate must submit a Quadrennial Update Survey every four years. Facilities that submit their own emission inventory plan and report and are prioritized as high must submit an HRA and pay state AB 2588 fees.</w:t>
      </w:r>
    </w:p>
    <w:p w:rsidR="00B5183B" w:rsidRDefault="00B5183B" w:rsidP="007D7B3B">
      <w:pPr>
        <w:pStyle w:val="Default"/>
        <w:rPr>
          <w:rFonts w:asciiTheme="minorHAnsi" w:hAnsiTheme="minorHAnsi" w:cstheme="minorHAnsi"/>
          <w:bCs/>
        </w:rPr>
      </w:pPr>
    </w:p>
    <w:p w:rsidR="00B5183B" w:rsidRDefault="00B5183B" w:rsidP="007D7B3B">
      <w:pPr>
        <w:pStyle w:val="Default"/>
        <w:rPr>
          <w:rFonts w:asciiTheme="minorHAnsi" w:hAnsiTheme="minorHAnsi" w:cstheme="minorHAnsi"/>
          <w:bCs/>
        </w:rPr>
      </w:pPr>
      <w:r>
        <w:rPr>
          <w:rFonts w:asciiTheme="minorHAnsi" w:hAnsiTheme="minorHAnsi" w:cstheme="minorHAnsi"/>
          <w:bCs/>
        </w:rPr>
        <w:t>The District categorized facilities for the AB 2588 Program according to Prioritization Score as shown in the table below:</w:t>
      </w:r>
    </w:p>
    <w:p w:rsidR="00B5183B" w:rsidRDefault="00B5183B" w:rsidP="007D7B3B">
      <w:pPr>
        <w:pStyle w:val="Default"/>
        <w:rPr>
          <w:rFonts w:asciiTheme="minorHAnsi" w:hAnsiTheme="minorHAnsi" w:cstheme="minorHAnsi"/>
          <w:bCs/>
        </w:rPr>
      </w:pPr>
    </w:p>
    <w:p w:rsidR="00B5183B" w:rsidRPr="0070174E" w:rsidRDefault="00B5183B" w:rsidP="00B5183B">
      <w:pPr>
        <w:pStyle w:val="Default"/>
        <w:jc w:val="center"/>
        <w:rPr>
          <w:rFonts w:asciiTheme="minorHAnsi" w:hAnsiTheme="minorHAnsi" w:cstheme="minorHAnsi"/>
          <w:b/>
          <w:bCs/>
        </w:rPr>
      </w:pPr>
      <w:r w:rsidRPr="0070174E">
        <w:rPr>
          <w:rFonts w:asciiTheme="minorHAnsi" w:hAnsiTheme="minorHAnsi" w:cstheme="minorHAnsi"/>
          <w:b/>
          <w:bCs/>
        </w:rPr>
        <w:t>Prioritization based on Prioritization Score</w:t>
      </w:r>
    </w:p>
    <w:tbl>
      <w:tblPr>
        <w:tblStyle w:val="TableGrid"/>
        <w:tblW w:w="0" w:type="auto"/>
        <w:tblLook w:val="04A0" w:firstRow="1" w:lastRow="0" w:firstColumn="1" w:lastColumn="0" w:noHBand="0" w:noVBand="1"/>
      </w:tblPr>
      <w:tblGrid>
        <w:gridCol w:w="2335"/>
        <w:gridCol w:w="2700"/>
        <w:gridCol w:w="4495"/>
      </w:tblGrid>
      <w:tr w:rsidR="00B5183B" w:rsidRPr="00B5183B" w:rsidTr="00A4255E">
        <w:tc>
          <w:tcPr>
            <w:tcW w:w="2335" w:type="dxa"/>
          </w:tcPr>
          <w:p w:rsidR="00B5183B" w:rsidRPr="0070174E" w:rsidRDefault="00B5183B" w:rsidP="00B5183B">
            <w:pPr>
              <w:pStyle w:val="Default"/>
              <w:jc w:val="center"/>
              <w:rPr>
                <w:rFonts w:asciiTheme="minorHAnsi" w:hAnsiTheme="minorHAnsi" w:cstheme="minorHAnsi"/>
                <w:b/>
                <w:bCs/>
                <w:sz w:val="22"/>
              </w:rPr>
            </w:pPr>
            <w:r w:rsidRPr="0070174E">
              <w:rPr>
                <w:rFonts w:asciiTheme="minorHAnsi" w:hAnsiTheme="minorHAnsi" w:cstheme="minorHAnsi"/>
                <w:b/>
                <w:bCs/>
                <w:sz w:val="22"/>
              </w:rPr>
              <w:t>Prioritization Scores</w:t>
            </w:r>
          </w:p>
        </w:tc>
        <w:tc>
          <w:tcPr>
            <w:tcW w:w="2700" w:type="dxa"/>
          </w:tcPr>
          <w:p w:rsidR="00B5183B" w:rsidRPr="0070174E" w:rsidRDefault="00B5183B" w:rsidP="00B5183B">
            <w:pPr>
              <w:pStyle w:val="Default"/>
              <w:jc w:val="center"/>
              <w:rPr>
                <w:rFonts w:asciiTheme="minorHAnsi" w:hAnsiTheme="minorHAnsi" w:cstheme="minorHAnsi"/>
                <w:b/>
                <w:bCs/>
                <w:sz w:val="22"/>
              </w:rPr>
            </w:pPr>
            <w:r w:rsidRPr="0070174E">
              <w:rPr>
                <w:rFonts w:asciiTheme="minorHAnsi" w:hAnsiTheme="minorHAnsi" w:cstheme="minorHAnsi"/>
                <w:b/>
                <w:bCs/>
                <w:sz w:val="22"/>
              </w:rPr>
              <w:t>Prioritization Category</w:t>
            </w:r>
          </w:p>
        </w:tc>
        <w:tc>
          <w:tcPr>
            <w:tcW w:w="4495" w:type="dxa"/>
          </w:tcPr>
          <w:p w:rsidR="00B5183B" w:rsidRPr="0070174E" w:rsidRDefault="00B5183B" w:rsidP="00B5183B">
            <w:pPr>
              <w:pStyle w:val="Default"/>
              <w:jc w:val="center"/>
              <w:rPr>
                <w:rFonts w:asciiTheme="minorHAnsi" w:hAnsiTheme="minorHAnsi" w:cstheme="minorHAnsi"/>
                <w:b/>
                <w:bCs/>
                <w:sz w:val="22"/>
              </w:rPr>
            </w:pPr>
            <w:r w:rsidRPr="0070174E">
              <w:rPr>
                <w:rFonts w:asciiTheme="minorHAnsi" w:hAnsiTheme="minorHAnsi" w:cstheme="minorHAnsi"/>
                <w:b/>
                <w:bCs/>
                <w:sz w:val="22"/>
              </w:rPr>
              <w:t>Reporting Requirements</w:t>
            </w:r>
          </w:p>
        </w:tc>
      </w:tr>
      <w:tr w:rsidR="00B5183B" w:rsidRPr="00B5183B" w:rsidTr="00A4255E">
        <w:tc>
          <w:tcPr>
            <w:tcW w:w="2335" w:type="dxa"/>
          </w:tcPr>
          <w:p w:rsidR="00B5183B" w:rsidRPr="00B5183B" w:rsidRDefault="00A4255E" w:rsidP="00B5183B">
            <w:pPr>
              <w:pStyle w:val="Default"/>
              <w:jc w:val="center"/>
              <w:rPr>
                <w:rFonts w:asciiTheme="minorHAnsi" w:hAnsiTheme="minorHAnsi" w:cstheme="minorHAnsi"/>
                <w:bCs/>
                <w:sz w:val="22"/>
              </w:rPr>
            </w:pPr>
            <w:r>
              <w:rPr>
                <w:rFonts w:asciiTheme="minorHAnsi" w:hAnsiTheme="minorHAnsi" w:cstheme="minorHAnsi"/>
                <w:bCs/>
                <w:sz w:val="22"/>
              </w:rPr>
              <w:t>PS ≤ 1</w:t>
            </w:r>
          </w:p>
        </w:tc>
        <w:tc>
          <w:tcPr>
            <w:tcW w:w="2700" w:type="dxa"/>
          </w:tcPr>
          <w:p w:rsidR="00B5183B" w:rsidRPr="00B5183B" w:rsidRDefault="00A4255E" w:rsidP="00B5183B">
            <w:pPr>
              <w:pStyle w:val="Default"/>
              <w:jc w:val="center"/>
              <w:rPr>
                <w:rFonts w:asciiTheme="minorHAnsi" w:hAnsiTheme="minorHAnsi" w:cstheme="minorHAnsi"/>
                <w:bCs/>
                <w:sz w:val="22"/>
              </w:rPr>
            </w:pPr>
            <w:r>
              <w:rPr>
                <w:rFonts w:asciiTheme="minorHAnsi" w:hAnsiTheme="minorHAnsi" w:cstheme="minorHAnsi"/>
                <w:bCs/>
                <w:sz w:val="22"/>
              </w:rPr>
              <w:t>Low</w:t>
            </w:r>
          </w:p>
        </w:tc>
        <w:tc>
          <w:tcPr>
            <w:tcW w:w="4495" w:type="dxa"/>
          </w:tcPr>
          <w:p w:rsidR="00B5183B" w:rsidRPr="00B5183B" w:rsidRDefault="00A4255E" w:rsidP="00B5183B">
            <w:pPr>
              <w:pStyle w:val="Default"/>
              <w:jc w:val="center"/>
              <w:rPr>
                <w:rFonts w:asciiTheme="minorHAnsi" w:hAnsiTheme="minorHAnsi" w:cstheme="minorHAnsi"/>
                <w:bCs/>
                <w:sz w:val="22"/>
              </w:rPr>
            </w:pPr>
            <w:r>
              <w:rPr>
                <w:rFonts w:asciiTheme="minorHAnsi" w:hAnsiTheme="minorHAnsi" w:cstheme="minorHAnsi"/>
                <w:bCs/>
                <w:sz w:val="22"/>
              </w:rPr>
              <w:t>Exempt from further reporting for AB 2588 due to low risk; may be reprioritized later due to changes in emissions or conditions which require facility re-analysis to occur.</w:t>
            </w:r>
          </w:p>
        </w:tc>
      </w:tr>
      <w:tr w:rsidR="00B5183B" w:rsidRPr="00B5183B" w:rsidTr="00A4255E">
        <w:tc>
          <w:tcPr>
            <w:tcW w:w="2335" w:type="dxa"/>
          </w:tcPr>
          <w:p w:rsidR="00B5183B" w:rsidRPr="00B5183B" w:rsidRDefault="00A4255E" w:rsidP="00B5183B">
            <w:pPr>
              <w:pStyle w:val="Default"/>
              <w:jc w:val="center"/>
              <w:rPr>
                <w:rFonts w:asciiTheme="minorHAnsi" w:hAnsiTheme="minorHAnsi" w:cstheme="minorHAnsi"/>
                <w:bCs/>
                <w:sz w:val="22"/>
              </w:rPr>
            </w:pPr>
            <w:r>
              <w:rPr>
                <w:rFonts w:asciiTheme="minorHAnsi" w:hAnsiTheme="minorHAnsi" w:cstheme="minorHAnsi"/>
                <w:bCs/>
                <w:sz w:val="22"/>
              </w:rPr>
              <w:t>1 &lt; PS ≤ 10</w:t>
            </w:r>
          </w:p>
        </w:tc>
        <w:tc>
          <w:tcPr>
            <w:tcW w:w="2700" w:type="dxa"/>
          </w:tcPr>
          <w:p w:rsidR="00B5183B" w:rsidRPr="00B5183B" w:rsidRDefault="00A4255E" w:rsidP="00B5183B">
            <w:pPr>
              <w:pStyle w:val="Default"/>
              <w:jc w:val="center"/>
              <w:rPr>
                <w:rFonts w:asciiTheme="minorHAnsi" w:hAnsiTheme="minorHAnsi" w:cstheme="minorHAnsi"/>
                <w:bCs/>
                <w:sz w:val="22"/>
              </w:rPr>
            </w:pPr>
            <w:r>
              <w:rPr>
                <w:rFonts w:asciiTheme="minorHAnsi" w:hAnsiTheme="minorHAnsi" w:cstheme="minorHAnsi"/>
                <w:bCs/>
                <w:sz w:val="22"/>
              </w:rPr>
              <w:t>Intermediate</w:t>
            </w:r>
          </w:p>
        </w:tc>
        <w:tc>
          <w:tcPr>
            <w:tcW w:w="4495" w:type="dxa"/>
          </w:tcPr>
          <w:p w:rsidR="00B5183B" w:rsidRPr="00B5183B" w:rsidRDefault="00A4255E" w:rsidP="00B5183B">
            <w:pPr>
              <w:pStyle w:val="Default"/>
              <w:jc w:val="center"/>
              <w:rPr>
                <w:rFonts w:asciiTheme="minorHAnsi" w:hAnsiTheme="minorHAnsi" w:cstheme="minorHAnsi"/>
                <w:bCs/>
                <w:sz w:val="22"/>
              </w:rPr>
            </w:pPr>
            <w:r>
              <w:rPr>
                <w:rFonts w:asciiTheme="minorHAnsi" w:hAnsiTheme="minorHAnsi" w:cstheme="minorHAnsi"/>
                <w:bCs/>
                <w:sz w:val="22"/>
              </w:rPr>
              <w:t>Subj</w:t>
            </w:r>
            <w:r w:rsidR="0070174E">
              <w:rPr>
                <w:rFonts w:asciiTheme="minorHAnsi" w:hAnsiTheme="minorHAnsi" w:cstheme="minorHAnsi"/>
                <w:bCs/>
                <w:sz w:val="22"/>
              </w:rPr>
              <w:t>ect to quadrennial update reporting; may be reclassified as Low or High at District discretion based on other factors such as proximity to schools or hospitals.</w:t>
            </w:r>
          </w:p>
        </w:tc>
      </w:tr>
      <w:tr w:rsidR="00B5183B" w:rsidRPr="00B5183B" w:rsidTr="00A4255E">
        <w:tc>
          <w:tcPr>
            <w:tcW w:w="2335" w:type="dxa"/>
          </w:tcPr>
          <w:p w:rsidR="00B5183B" w:rsidRPr="00B5183B" w:rsidRDefault="00A4255E" w:rsidP="00B5183B">
            <w:pPr>
              <w:pStyle w:val="Default"/>
              <w:jc w:val="center"/>
              <w:rPr>
                <w:rFonts w:asciiTheme="minorHAnsi" w:hAnsiTheme="minorHAnsi" w:cstheme="minorHAnsi"/>
                <w:bCs/>
                <w:sz w:val="22"/>
              </w:rPr>
            </w:pPr>
            <w:r>
              <w:rPr>
                <w:rFonts w:asciiTheme="minorHAnsi" w:hAnsiTheme="minorHAnsi" w:cstheme="minorHAnsi"/>
                <w:bCs/>
                <w:sz w:val="22"/>
              </w:rPr>
              <w:t>PS &gt; 10</w:t>
            </w:r>
          </w:p>
        </w:tc>
        <w:tc>
          <w:tcPr>
            <w:tcW w:w="2700" w:type="dxa"/>
          </w:tcPr>
          <w:p w:rsidR="00B5183B" w:rsidRPr="00B5183B" w:rsidRDefault="00A4255E" w:rsidP="00B5183B">
            <w:pPr>
              <w:pStyle w:val="Default"/>
              <w:jc w:val="center"/>
              <w:rPr>
                <w:rFonts w:asciiTheme="minorHAnsi" w:hAnsiTheme="minorHAnsi" w:cstheme="minorHAnsi"/>
                <w:bCs/>
                <w:sz w:val="22"/>
              </w:rPr>
            </w:pPr>
            <w:r>
              <w:rPr>
                <w:rFonts w:asciiTheme="minorHAnsi" w:hAnsiTheme="minorHAnsi" w:cstheme="minorHAnsi"/>
                <w:bCs/>
                <w:sz w:val="22"/>
              </w:rPr>
              <w:t>High</w:t>
            </w:r>
          </w:p>
        </w:tc>
        <w:tc>
          <w:tcPr>
            <w:tcW w:w="4495" w:type="dxa"/>
          </w:tcPr>
          <w:p w:rsidR="00B5183B" w:rsidRPr="00B5183B" w:rsidRDefault="0070174E" w:rsidP="00B5183B">
            <w:pPr>
              <w:pStyle w:val="Default"/>
              <w:jc w:val="center"/>
              <w:rPr>
                <w:rFonts w:asciiTheme="minorHAnsi" w:hAnsiTheme="minorHAnsi" w:cstheme="minorHAnsi"/>
                <w:bCs/>
                <w:sz w:val="22"/>
              </w:rPr>
            </w:pPr>
            <w:r>
              <w:rPr>
                <w:rFonts w:asciiTheme="minorHAnsi" w:hAnsiTheme="minorHAnsi" w:cstheme="minorHAnsi"/>
                <w:bCs/>
                <w:sz w:val="22"/>
              </w:rPr>
              <w:t>Require an HRA (unless already done recently) be submitted; Further reporting requirements dependent on HRA results.</w:t>
            </w:r>
          </w:p>
        </w:tc>
      </w:tr>
    </w:tbl>
    <w:p w:rsidR="00B5183B" w:rsidRPr="00B5183B" w:rsidRDefault="00B5183B" w:rsidP="00B5183B">
      <w:pPr>
        <w:pStyle w:val="Default"/>
        <w:jc w:val="center"/>
        <w:rPr>
          <w:rFonts w:asciiTheme="minorHAnsi" w:hAnsiTheme="minorHAnsi" w:cstheme="minorHAnsi"/>
          <w:bCs/>
          <w:sz w:val="22"/>
        </w:rPr>
      </w:pPr>
    </w:p>
    <w:p w:rsidR="00F44D32" w:rsidRPr="00866EE3" w:rsidRDefault="0070174E" w:rsidP="00A765F7">
      <w:pPr>
        <w:rPr>
          <w:rFonts w:asciiTheme="minorHAnsi" w:hAnsiTheme="minorHAnsi" w:cstheme="minorHAnsi"/>
          <w:b/>
          <w:sz w:val="24"/>
        </w:rPr>
      </w:pPr>
      <w:r w:rsidRPr="00866EE3">
        <w:rPr>
          <w:rFonts w:asciiTheme="minorHAnsi" w:hAnsiTheme="minorHAnsi" w:cstheme="minorHAnsi"/>
          <w:b/>
          <w:sz w:val="24"/>
        </w:rPr>
        <w:t>HEALTH RISK ASSESSMENTS</w:t>
      </w:r>
    </w:p>
    <w:p w:rsidR="0070174E" w:rsidRPr="00866EE3" w:rsidRDefault="0070174E" w:rsidP="00A765F7">
      <w:pPr>
        <w:rPr>
          <w:rFonts w:asciiTheme="minorHAnsi" w:hAnsiTheme="minorHAnsi" w:cstheme="minorHAnsi"/>
          <w:b/>
          <w:sz w:val="24"/>
        </w:rPr>
      </w:pPr>
    </w:p>
    <w:p w:rsidR="0070174E" w:rsidRPr="00866EE3" w:rsidRDefault="0070174E" w:rsidP="00A765F7">
      <w:pPr>
        <w:rPr>
          <w:rFonts w:asciiTheme="minorHAnsi" w:hAnsiTheme="minorHAnsi" w:cstheme="minorHAnsi"/>
          <w:sz w:val="24"/>
        </w:rPr>
      </w:pPr>
      <w:r w:rsidRPr="00866EE3">
        <w:rPr>
          <w:rFonts w:asciiTheme="minorHAnsi" w:hAnsiTheme="minorHAnsi" w:cstheme="minorHAnsi"/>
          <w:sz w:val="24"/>
        </w:rPr>
        <w:t>The District is in the process of reprioritizing facilities under the new guidelines and procedures. In the upcoming year the District will continue this work. Several source categories will be reviewed and HRA’s requested as necessary. The District will be using the updated industrywide health risk assessment guidelines currently under development by CAPCOA and CARB to perform HRA’s for industrywide facilities. In the calendar year 2022 the CAPCOA industrywide HRA guidelines were released for gas stations and diesel engines. Amendments to the Emission Inventory Criteria and Guidelines were adopted by CARB on November 19, 2020, and were submitted to the Office of Administration Law on October 6, 2021. The Emission Inventory Criteria and Guidelines were updated effective March 2022, including the applicability table in Appendix E.</w:t>
      </w:r>
    </w:p>
    <w:p w:rsidR="0070174E" w:rsidRPr="00866EE3" w:rsidRDefault="0070174E" w:rsidP="00A765F7">
      <w:pPr>
        <w:rPr>
          <w:rFonts w:asciiTheme="minorHAnsi" w:hAnsiTheme="minorHAnsi" w:cstheme="minorHAnsi"/>
          <w:sz w:val="24"/>
        </w:rPr>
      </w:pPr>
    </w:p>
    <w:p w:rsidR="0070174E" w:rsidRPr="00866EE3" w:rsidRDefault="0070174E" w:rsidP="00A765F7">
      <w:pPr>
        <w:rPr>
          <w:rFonts w:asciiTheme="minorHAnsi" w:hAnsiTheme="minorHAnsi" w:cstheme="minorHAnsi"/>
          <w:sz w:val="24"/>
        </w:rPr>
      </w:pPr>
      <w:r w:rsidRPr="00866EE3">
        <w:rPr>
          <w:rFonts w:asciiTheme="minorHAnsi" w:hAnsiTheme="minorHAnsi" w:cstheme="minorHAnsi"/>
          <w:sz w:val="24"/>
        </w:rPr>
        <w:t>Health risk assessments evaluate the health risk to the public due to toxic air emissions from new or modified facilities. These health risk assessments also satisfy the AB 2588 Program requirement for evaluating toxic air contaminants. HRAs</w:t>
      </w:r>
      <w:r w:rsidR="007B4632" w:rsidRPr="00866EE3">
        <w:rPr>
          <w:rFonts w:asciiTheme="minorHAnsi" w:hAnsiTheme="minorHAnsi" w:cstheme="minorHAnsi"/>
          <w:sz w:val="24"/>
        </w:rPr>
        <w:t xml:space="preserve"> during the coming year will be conducted as warranted.</w:t>
      </w:r>
    </w:p>
    <w:p w:rsidR="007B4632" w:rsidRPr="00866EE3" w:rsidRDefault="007B4632" w:rsidP="00A765F7">
      <w:pPr>
        <w:rPr>
          <w:rFonts w:asciiTheme="minorHAnsi" w:hAnsiTheme="minorHAnsi" w:cstheme="minorHAnsi"/>
          <w:sz w:val="24"/>
        </w:rPr>
      </w:pPr>
    </w:p>
    <w:p w:rsidR="007B4632" w:rsidRDefault="007B4632" w:rsidP="00A765F7">
      <w:pPr>
        <w:rPr>
          <w:rFonts w:asciiTheme="minorHAnsi" w:hAnsiTheme="minorHAnsi" w:cstheme="minorHAnsi"/>
          <w:sz w:val="24"/>
        </w:rPr>
      </w:pPr>
      <w:r w:rsidRPr="00866EE3">
        <w:rPr>
          <w:rFonts w:asciiTheme="minorHAnsi" w:hAnsiTheme="minorHAnsi" w:cstheme="minorHAnsi"/>
          <w:sz w:val="24"/>
        </w:rPr>
        <w:t>District staff continue to use the Health Assessment and Reporting Program Ver.2. (HARP2) tools to evaluate source risk. The results from HARP2 are used to determine potential risk from a project for a specific site or location.</w:t>
      </w:r>
    </w:p>
    <w:p w:rsidR="00B00857" w:rsidRDefault="00B00857" w:rsidP="00A765F7">
      <w:pPr>
        <w:rPr>
          <w:rFonts w:asciiTheme="minorHAnsi" w:hAnsiTheme="minorHAnsi" w:cstheme="minorHAnsi"/>
          <w:sz w:val="24"/>
        </w:rPr>
      </w:pPr>
    </w:p>
    <w:p w:rsidR="00B00857" w:rsidRDefault="00B00857" w:rsidP="00B00857">
      <w:pPr>
        <w:jc w:val="center"/>
        <w:rPr>
          <w:rFonts w:asciiTheme="minorHAnsi" w:hAnsiTheme="minorHAnsi" w:cstheme="minorHAnsi"/>
          <w:b/>
          <w:sz w:val="24"/>
        </w:rPr>
      </w:pPr>
      <w:r>
        <w:rPr>
          <w:rFonts w:asciiTheme="minorHAnsi" w:hAnsiTheme="minorHAnsi" w:cstheme="minorHAnsi"/>
          <w:b/>
          <w:sz w:val="24"/>
        </w:rPr>
        <w:t>Prioritized Facilities</w:t>
      </w:r>
    </w:p>
    <w:tbl>
      <w:tblPr>
        <w:tblStyle w:val="TableGrid"/>
        <w:tblW w:w="0" w:type="auto"/>
        <w:tblLook w:val="04A0" w:firstRow="1" w:lastRow="0" w:firstColumn="1" w:lastColumn="0" w:noHBand="0" w:noVBand="1"/>
      </w:tblPr>
      <w:tblGrid>
        <w:gridCol w:w="4765"/>
        <w:gridCol w:w="4765"/>
      </w:tblGrid>
      <w:tr w:rsidR="00B00857" w:rsidTr="00B00857">
        <w:tc>
          <w:tcPr>
            <w:tcW w:w="4765" w:type="dxa"/>
          </w:tcPr>
          <w:p w:rsidR="00B00857" w:rsidRPr="00B00857" w:rsidRDefault="00B00857" w:rsidP="00B00857">
            <w:pPr>
              <w:jc w:val="center"/>
              <w:rPr>
                <w:rFonts w:asciiTheme="minorHAnsi" w:hAnsiTheme="minorHAnsi" w:cstheme="minorHAnsi"/>
                <w:b/>
                <w:sz w:val="24"/>
              </w:rPr>
            </w:pPr>
            <w:r w:rsidRPr="00B00857">
              <w:rPr>
                <w:rFonts w:asciiTheme="minorHAnsi" w:hAnsiTheme="minorHAnsi" w:cstheme="minorHAnsi"/>
                <w:b/>
                <w:sz w:val="24"/>
              </w:rPr>
              <w:t>Priority Score</w:t>
            </w:r>
          </w:p>
        </w:tc>
        <w:tc>
          <w:tcPr>
            <w:tcW w:w="4765" w:type="dxa"/>
          </w:tcPr>
          <w:p w:rsidR="00B00857" w:rsidRPr="00B00857" w:rsidRDefault="00B00857" w:rsidP="00B00857">
            <w:pPr>
              <w:jc w:val="center"/>
              <w:rPr>
                <w:rFonts w:asciiTheme="minorHAnsi" w:hAnsiTheme="minorHAnsi" w:cstheme="minorHAnsi"/>
                <w:b/>
                <w:sz w:val="24"/>
              </w:rPr>
            </w:pPr>
            <w:r w:rsidRPr="00B00857">
              <w:rPr>
                <w:rFonts w:asciiTheme="minorHAnsi" w:hAnsiTheme="minorHAnsi" w:cstheme="minorHAnsi"/>
                <w:b/>
                <w:sz w:val="24"/>
              </w:rPr>
              <w:t xml:space="preserve">Number of Facilities </w:t>
            </w:r>
          </w:p>
        </w:tc>
      </w:tr>
      <w:tr w:rsidR="00B00857" w:rsidTr="00B00857">
        <w:tc>
          <w:tcPr>
            <w:tcW w:w="4765" w:type="dxa"/>
          </w:tcPr>
          <w:p w:rsidR="00B00857" w:rsidRDefault="00B00857" w:rsidP="00B00857">
            <w:pPr>
              <w:jc w:val="center"/>
              <w:rPr>
                <w:rFonts w:asciiTheme="minorHAnsi" w:hAnsiTheme="minorHAnsi" w:cstheme="minorHAnsi"/>
                <w:sz w:val="24"/>
              </w:rPr>
            </w:pPr>
            <w:r>
              <w:rPr>
                <w:rFonts w:asciiTheme="minorHAnsi" w:hAnsiTheme="minorHAnsi" w:cstheme="minorHAnsi"/>
                <w:sz w:val="24"/>
              </w:rPr>
              <w:t>Low</w:t>
            </w:r>
          </w:p>
        </w:tc>
        <w:tc>
          <w:tcPr>
            <w:tcW w:w="4765" w:type="dxa"/>
          </w:tcPr>
          <w:p w:rsidR="00B00857" w:rsidRDefault="00D7593F" w:rsidP="00B00857">
            <w:pPr>
              <w:jc w:val="center"/>
              <w:rPr>
                <w:rFonts w:asciiTheme="minorHAnsi" w:hAnsiTheme="minorHAnsi" w:cstheme="minorHAnsi"/>
                <w:sz w:val="24"/>
              </w:rPr>
            </w:pPr>
            <w:r>
              <w:rPr>
                <w:rFonts w:asciiTheme="minorHAnsi" w:hAnsiTheme="minorHAnsi" w:cstheme="minorHAnsi"/>
                <w:sz w:val="24"/>
              </w:rPr>
              <w:t>108</w:t>
            </w:r>
          </w:p>
        </w:tc>
      </w:tr>
      <w:tr w:rsidR="00B00857" w:rsidTr="00B00857">
        <w:tc>
          <w:tcPr>
            <w:tcW w:w="4765" w:type="dxa"/>
          </w:tcPr>
          <w:p w:rsidR="00B00857" w:rsidRDefault="00B00857" w:rsidP="00B00857">
            <w:pPr>
              <w:jc w:val="center"/>
              <w:rPr>
                <w:rFonts w:asciiTheme="minorHAnsi" w:hAnsiTheme="minorHAnsi" w:cstheme="minorHAnsi"/>
                <w:sz w:val="24"/>
              </w:rPr>
            </w:pPr>
            <w:r>
              <w:rPr>
                <w:rFonts w:asciiTheme="minorHAnsi" w:hAnsiTheme="minorHAnsi" w:cstheme="minorHAnsi"/>
                <w:sz w:val="24"/>
              </w:rPr>
              <w:t>Intermediate</w:t>
            </w:r>
          </w:p>
        </w:tc>
        <w:tc>
          <w:tcPr>
            <w:tcW w:w="4765" w:type="dxa"/>
          </w:tcPr>
          <w:p w:rsidR="00B00857" w:rsidRDefault="00D7593F" w:rsidP="00B00857">
            <w:pPr>
              <w:jc w:val="center"/>
              <w:rPr>
                <w:rFonts w:asciiTheme="minorHAnsi" w:hAnsiTheme="minorHAnsi" w:cstheme="minorHAnsi"/>
                <w:sz w:val="24"/>
              </w:rPr>
            </w:pPr>
            <w:r>
              <w:rPr>
                <w:rFonts w:asciiTheme="minorHAnsi" w:hAnsiTheme="minorHAnsi" w:cstheme="minorHAnsi"/>
                <w:sz w:val="24"/>
              </w:rPr>
              <w:t>48</w:t>
            </w:r>
          </w:p>
        </w:tc>
      </w:tr>
      <w:tr w:rsidR="00B00857" w:rsidTr="00B00857">
        <w:tc>
          <w:tcPr>
            <w:tcW w:w="4765" w:type="dxa"/>
          </w:tcPr>
          <w:p w:rsidR="00B00857" w:rsidRDefault="00B00857" w:rsidP="00B00857">
            <w:pPr>
              <w:jc w:val="center"/>
              <w:rPr>
                <w:rFonts w:asciiTheme="minorHAnsi" w:hAnsiTheme="minorHAnsi" w:cstheme="minorHAnsi"/>
                <w:sz w:val="24"/>
              </w:rPr>
            </w:pPr>
            <w:r>
              <w:rPr>
                <w:rFonts w:asciiTheme="minorHAnsi" w:hAnsiTheme="minorHAnsi" w:cstheme="minorHAnsi"/>
                <w:sz w:val="24"/>
              </w:rPr>
              <w:t>High</w:t>
            </w:r>
          </w:p>
        </w:tc>
        <w:tc>
          <w:tcPr>
            <w:tcW w:w="4765" w:type="dxa"/>
          </w:tcPr>
          <w:p w:rsidR="00B00857" w:rsidRDefault="00BF49C9" w:rsidP="00B00857">
            <w:pPr>
              <w:jc w:val="center"/>
              <w:rPr>
                <w:rFonts w:asciiTheme="minorHAnsi" w:hAnsiTheme="minorHAnsi" w:cstheme="minorHAnsi"/>
                <w:sz w:val="24"/>
              </w:rPr>
            </w:pPr>
            <w:r>
              <w:rPr>
                <w:rFonts w:asciiTheme="minorHAnsi" w:hAnsiTheme="minorHAnsi" w:cstheme="minorHAnsi"/>
                <w:sz w:val="24"/>
              </w:rPr>
              <w:t>0</w:t>
            </w:r>
          </w:p>
        </w:tc>
      </w:tr>
      <w:tr w:rsidR="00B00857" w:rsidTr="00B00857">
        <w:tc>
          <w:tcPr>
            <w:tcW w:w="4765" w:type="dxa"/>
          </w:tcPr>
          <w:p w:rsidR="00B00857" w:rsidRDefault="00B00857" w:rsidP="00B00857">
            <w:pPr>
              <w:jc w:val="center"/>
              <w:rPr>
                <w:rFonts w:asciiTheme="minorHAnsi" w:hAnsiTheme="minorHAnsi" w:cstheme="minorHAnsi"/>
                <w:sz w:val="24"/>
              </w:rPr>
            </w:pPr>
            <w:r>
              <w:rPr>
                <w:rFonts w:asciiTheme="minorHAnsi" w:hAnsiTheme="minorHAnsi" w:cstheme="minorHAnsi"/>
                <w:sz w:val="24"/>
              </w:rPr>
              <w:t>Pending Re-prioritization or prioritization</w:t>
            </w:r>
          </w:p>
        </w:tc>
        <w:tc>
          <w:tcPr>
            <w:tcW w:w="4765" w:type="dxa"/>
          </w:tcPr>
          <w:p w:rsidR="00B00857" w:rsidRDefault="00BF49C9" w:rsidP="00B00857">
            <w:pPr>
              <w:jc w:val="center"/>
              <w:rPr>
                <w:rFonts w:asciiTheme="minorHAnsi" w:hAnsiTheme="minorHAnsi" w:cstheme="minorHAnsi"/>
                <w:sz w:val="24"/>
              </w:rPr>
            </w:pPr>
            <w:r>
              <w:rPr>
                <w:rFonts w:asciiTheme="minorHAnsi" w:hAnsiTheme="minorHAnsi" w:cstheme="minorHAnsi"/>
                <w:sz w:val="24"/>
              </w:rPr>
              <w:t>2</w:t>
            </w:r>
          </w:p>
        </w:tc>
      </w:tr>
    </w:tbl>
    <w:p w:rsidR="00B00857" w:rsidRDefault="00B00857" w:rsidP="00B00857">
      <w:pPr>
        <w:jc w:val="center"/>
        <w:rPr>
          <w:rFonts w:asciiTheme="minorHAnsi" w:hAnsiTheme="minorHAnsi" w:cstheme="minorHAnsi"/>
          <w:sz w:val="24"/>
        </w:rPr>
      </w:pPr>
    </w:p>
    <w:p w:rsidR="00F71C81" w:rsidRDefault="00F71C81" w:rsidP="00B00857">
      <w:pPr>
        <w:jc w:val="center"/>
        <w:rPr>
          <w:rFonts w:asciiTheme="minorHAnsi" w:hAnsiTheme="minorHAnsi" w:cstheme="minorHAnsi"/>
          <w:sz w:val="24"/>
        </w:rPr>
      </w:pPr>
    </w:p>
    <w:p w:rsidR="00F71C81" w:rsidRDefault="00F71C81" w:rsidP="00B00857">
      <w:pPr>
        <w:jc w:val="center"/>
        <w:rPr>
          <w:rFonts w:asciiTheme="minorHAnsi" w:hAnsiTheme="minorHAnsi" w:cstheme="minorHAnsi"/>
          <w:sz w:val="24"/>
        </w:rPr>
      </w:pPr>
    </w:p>
    <w:p w:rsidR="00F71C81" w:rsidRDefault="00F71C81" w:rsidP="00B00857">
      <w:pPr>
        <w:jc w:val="center"/>
        <w:rPr>
          <w:rFonts w:asciiTheme="minorHAnsi" w:hAnsiTheme="minorHAnsi" w:cstheme="minorHAnsi"/>
          <w:sz w:val="24"/>
        </w:rPr>
      </w:pPr>
    </w:p>
    <w:p w:rsidR="00F71C81" w:rsidRDefault="00F71C81" w:rsidP="00B00857">
      <w:pPr>
        <w:jc w:val="center"/>
        <w:rPr>
          <w:rFonts w:asciiTheme="minorHAnsi" w:hAnsiTheme="minorHAnsi" w:cstheme="minorHAnsi"/>
          <w:sz w:val="24"/>
        </w:rPr>
      </w:pPr>
    </w:p>
    <w:p w:rsidR="00F71C81" w:rsidRDefault="00F71C81" w:rsidP="00B00857">
      <w:pPr>
        <w:jc w:val="center"/>
        <w:rPr>
          <w:rFonts w:asciiTheme="minorHAnsi" w:hAnsiTheme="minorHAnsi" w:cstheme="minorHAnsi"/>
          <w:sz w:val="24"/>
        </w:rPr>
      </w:pPr>
    </w:p>
    <w:p w:rsidR="00F71C81" w:rsidRDefault="00F71C81" w:rsidP="00B00857">
      <w:pPr>
        <w:jc w:val="center"/>
        <w:rPr>
          <w:rFonts w:asciiTheme="minorHAnsi" w:hAnsiTheme="minorHAnsi" w:cstheme="minorHAnsi"/>
          <w:sz w:val="24"/>
        </w:rPr>
      </w:pPr>
    </w:p>
    <w:p w:rsidR="00F71C81" w:rsidRPr="00F71C81" w:rsidRDefault="00F71C81" w:rsidP="00714D38">
      <w:pPr>
        <w:jc w:val="center"/>
        <w:rPr>
          <w:rFonts w:asciiTheme="minorHAnsi" w:hAnsiTheme="minorHAnsi" w:cstheme="minorHAnsi"/>
          <w:b/>
          <w:sz w:val="48"/>
        </w:rPr>
      </w:pPr>
      <w:r w:rsidRPr="00F71C81">
        <w:rPr>
          <w:rFonts w:asciiTheme="minorHAnsi" w:hAnsiTheme="minorHAnsi" w:cstheme="minorHAnsi"/>
          <w:b/>
          <w:sz w:val="48"/>
        </w:rPr>
        <w:t>APPENDIX A</w:t>
      </w:r>
    </w:p>
    <w:p w:rsidR="00F71C81" w:rsidRDefault="00F71C81" w:rsidP="00B00857">
      <w:pPr>
        <w:jc w:val="center"/>
        <w:rPr>
          <w:rFonts w:asciiTheme="minorHAnsi" w:hAnsiTheme="minorHAnsi" w:cstheme="minorHAnsi"/>
          <w:sz w:val="24"/>
        </w:rPr>
      </w:pPr>
    </w:p>
    <w:p w:rsidR="00F71C81" w:rsidRDefault="004629D6" w:rsidP="00B00857">
      <w:pPr>
        <w:jc w:val="center"/>
        <w:rPr>
          <w:rFonts w:asciiTheme="minorHAnsi" w:hAnsiTheme="minorHAnsi" w:cstheme="minorHAnsi"/>
          <w:sz w:val="32"/>
        </w:rPr>
      </w:pPr>
      <w:r>
        <w:rPr>
          <w:rFonts w:asciiTheme="minorHAnsi" w:hAnsiTheme="minorHAnsi" w:cstheme="minorHAnsi"/>
          <w:sz w:val="32"/>
        </w:rPr>
        <w:t>2024</w:t>
      </w:r>
      <w:r w:rsidR="00F71C81" w:rsidRPr="00F71C81">
        <w:rPr>
          <w:rFonts w:asciiTheme="minorHAnsi" w:hAnsiTheme="minorHAnsi" w:cstheme="minorHAnsi"/>
          <w:sz w:val="32"/>
        </w:rPr>
        <w:t xml:space="preserve"> FACILITY STATUS LIST</w:t>
      </w:r>
    </w:p>
    <w:p w:rsidR="00F71C81" w:rsidRDefault="00F71C81" w:rsidP="00B00857">
      <w:pPr>
        <w:jc w:val="center"/>
        <w:rPr>
          <w:rFonts w:asciiTheme="minorHAnsi" w:hAnsiTheme="minorHAnsi" w:cstheme="minorHAnsi"/>
          <w:sz w:val="32"/>
        </w:rPr>
      </w:pPr>
    </w:p>
    <w:p w:rsidR="00F71C81" w:rsidRDefault="00F71C81" w:rsidP="00B00857">
      <w:pPr>
        <w:jc w:val="center"/>
        <w:rPr>
          <w:rFonts w:asciiTheme="minorHAnsi" w:hAnsiTheme="minorHAnsi" w:cstheme="minorHAnsi"/>
          <w:sz w:val="32"/>
        </w:rPr>
      </w:pPr>
    </w:p>
    <w:p w:rsidR="00F71C81" w:rsidRDefault="00F71C81" w:rsidP="00B00857">
      <w:pPr>
        <w:jc w:val="center"/>
        <w:rPr>
          <w:rFonts w:asciiTheme="minorHAnsi" w:hAnsiTheme="minorHAnsi" w:cstheme="minorHAnsi"/>
          <w:sz w:val="32"/>
        </w:rPr>
      </w:pPr>
    </w:p>
    <w:p w:rsidR="00F71C81" w:rsidRDefault="00F71C81" w:rsidP="00B00857">
      <w:pPr>
        <w:jc w:val="center"/>
        <w:rPr>
          <w:rFonts w:asciiTheme="minorHAnsi" w:hAnsiTheme="minorHAnsi" w:cstheme="minorHAnsi"/>
          <w:sz w:val="32"/>
        </w:rPr>
      </w:pPr>
    </w:p>
    <w:p w:rsidR="00F71C81" w:rsidRDefault="00F71C81" w:rsidP="00B00857">
      <w:pPr>
        <w:jc w:val="center"/>
        <w:rPr>
          <w:rFonts w:asciiTheme="minorHAnsi" w:hAnsiTheme="minorHAnsi" w:cstheme="minorHAnsi"/>
          <w:sz w:val="32"/>
        </w:rPr>
      </w:pPr>
    </w:p>
    <w:p w:rsidR="00F71C81" w:rsidRDefault="00F71C81" w:rsidP="00B00857">
      <w:pPr>
        <w:jc w:val="center"/>
        <w:rPr>
          <w:rFonts w:asciiTheme="minorHAnsi" w:hAnsiTheme="minorHAnsi" w:cstheme="minorHAnsi"/>
          <w:sz w:val="32"/>
        </w:rPr>
      </w:pPr>
    </w:p>
    <w:p w:rsidR="00F71C81" w:rsidRDefault="00F71C81" w:rsidP="00B00857">
      <w:pPr>
        <w:jc w:val="center"/>
        <w:rPr>
          <w:rFonts w:asciiTheme="minorHAnsi" w:hAnsiTheme="minorHAnsi" w:cstheme="minorHAnsi"/>
          <w:sz w:val="32"/>
        </w:rPr>
      </w:pPr>
    </w:p>
    <w:p w:rsidR="00F71C81" w:rsidRDefault="00F71C81" w:rsidP="00B00857">
      <w:pPr>
        <w:jc w:val="center"/>
        <w:rPr>
          <w:rFonts w:asciiTheme="minorHAnsi" w:hAnsiTheme="minorHAnsi" w:cstheme="minorHAnsi"/>
          <w:sz w:val="32"/>
        </w:rPr>
      </w:pPr>
    </w:p>
    <w:p w:rsidR="00F71C81" w:rsidRDefault="00F71C81" w:rsidP="00B00857">
      <w:pPr>
        <w:jc w:val="center"/>
        <w:rPr>
          <w:rFonts w:asciiTheme="minorHAnsi" w:hAnsiTheme="minorHAnsi" w:cstheme="minorHAnsi"/>
          <w:sz w:val="32"/>
        </w:rPr>
      </w:pPr>
    </w:p>
    <w:p w:rsidR="00F71C81" w:rsidRDefault="00F71C81" w:rsidP="00B00857">
      <w:pPr>
        <w:jc w:val="center"/>
        <w:rPr>
          <w:rFonts w:asciiTheme="minorHAnsi" w:hAnsiTheme="minorHAnsi" w:cstheme="minorHAnsi"/>
          <w:sz w:val="32"/>
        </w:rPr>
      </w:pPr>
    </w:p>
    <w:p w:rsidR="00F71C81" w:rsidRDefault="00F71C81" w:rsidP="00B00857">
      <w:pPr>
        <w:jc w:val="center"/>
        <w:rPr>
          <w:rFonts w:asciiTheme="minorHAnsi" w:hAnsiTheme="minorHAnsi" w:cstheme="minorHAnsi"/>
          <w:sz w:val="32"/>
        </w:rPr>
      </w:pPr>
    </w:p>
    <w:p w:rsidR="00F71C81" w:rsidRDefault="00F71C81" w:rsidP="00B00857">
      <w:pPr>
        <w:jc w:val="center"/>
        <w:rPr>
          <w:rFonts w:asciiTheme="minorHAnsi" w:hAnsiTheme="minorHAnsi" w:cstheme="minorHAnsi"/>
          <w:sz w:val="32"/>
        </w:rPr>
      </w:pPr>
    </w:p>
    <w:p w:rsidR="00F71C81" w:rsidRDefault="00F71C81" w:rsidP="00B00857">
      <w:pPr>
        <w:jc w:val="center"/>
        <w:rPr>
          <w:rFonts w:asciiTheme="minorHAnsi" w:hAnsiTheme="minorHAnsi" w:cstheme="minorHAnsi"/>
          <w:sz w:val="32"/>
        </w:rPr>
      </w:pPr>
    </w:p>
    <w:p w:rsidR="00F71C81" w:rsidRDefault="00F71C81" w:rsidP="00B00857">
      <w:pPr>
        <w:jc w:val="center"/>
        <w:rPr>
          <w:rFonts w:asciiTheme="minorHAnsi" w:hAnsiTheme="minorHAnsi" w:cstheme="minorHAnsi"/>
          <w:sz w:val="32"/>
        </w:rPr>
      </w:pPr>
    </w:p>
    <w:p w:rsidR="00746CC4" w:rsidRDefault="00746CC4" w:rsidP="00B00857">
      <w:pPr>
        <w:jc w:val="center"/>
        <w:rPr>
          <w:rFonts w:asciiTheme="minorHAnsi" w:hAnsiTheme="minorHAnsi" w:cstheme="minorHAnsi"/>
          <w:sz w:val="32"/>
        </w:rPr>
        <w:sectPr w:rsidR="00746CC4" w:rsidSect="00734CEC">
          <w:headerReference w:type="default" r:id="rId10"/>
          <w:footerReference w:type="default" r:id="rId11"/>
          <w:footerReference w:type="first" r:id="rId12"/>
          <w:pgSz w:w="12240" w:h="15840"/>
          <w:pgMar w:top="907" w:right="1440" w:bottom="630" w:left="1260" w:header="547" w:footer="0" w:gutter="0"/>
          <w:cols w:space="720"/>
          <w:titlePg/>
          <w:docGrid w:linePitch="360"/>
        </w:sectPr>
      </w:pPr>
    </w:p>
    <w:tbl>
      <w:tblPr>
        <w:tblStyle w:val="TableGrid"/>
        <w:tblW w:w="14400" w:type="dxa"/>
        <w:tblInd w:w="-725" w:type="dxa"/>
        <w:tblLook w:val="04A0" w:firstRow="1" w:lastRow="0" w:firstColumn="1" w:lastColumn="0" w:noHBand="0" w:noVBand="1"/>
      </w:tblPr>
      <w:tblGrid>
        <w:gridCol w:w="14400"/>
      </w:tblGrid>
      <w:tr w:rsidR="00FB27A1" w:rsidRPr="00170C05" w:rsidTr="00FB27A1">
        <w:tc>
          <w:tcPr>
            <w:tcW w:w="14400" w:type="dxa"/>
          </w:tcPr>
          <w:p w:rsidR="00FB27A1" w:rsidRPr="00170C05" w:rsidRDefault="00FB27A1" w:rsidP="00FB27A1">
            <w:pPr>
              <w:jc w:val="center"/>
              <w:rPr>
                <w:rFonts w:cstheme="minorHAnsi"/>
                <w:b/>
                <w:sz w:val="24"/>
              </w:rPr>
            </w:pPr>
            <w:r>
              <w:rPr>
                <w:rFonts w:cstheme="minorHAnsi"/>
                <w:b/>
                <w:sz w:val="24"/>
              </w:rPr>
              <w:lastRenderedPageBreak/>
              <w:t>2024</w:t>
            </w:r>
            <w:r w:rsidRPr="00170C05">
              <w:rPr>
                <w:rFonts w:cstheme="minorHAnsi"/>
                <w:b/>
                <w:sz w:val="24"/>
              </w:rPr>
              <w:t xml:space="preserve"> AB 2588 “Hot Spots” Annual Report Facility Status</w:t>
            </w:r>
          </w:p>
          <w:p w:rsidR="00FB27A1" w:rsidRPr="00170C05" w:rsidRDefault="00FB27A1" w:rsidP="00FB27A1">
            <w:pPr>
              <w:jc w:val="center"/>
              <w:rPr>
                <w:rFonts w:cstheme="minorHAnsi"/>
                <w:b/>
                <w:sz w:val="24"/>
              </w:rPr>
            </w:pPr>
            <w:r w:rsidRPr="00170C05">
              <w:rPr>
                <w:rFonts w:cstheme="minorHAnsi"/>
                <w:b/>
                <w:sz w:val="24"/>
              </w:rPr>
              <w:t>Key / Legend</w:t>
            </w:r>
          </w:p>
        </w:tc>
      </w:tr>
    </w:tbl>
    <w:p w:rsidR="00FB27A1" w:rsidRDefault="00FB27A1" w:rsidP="00FB27A1">
      <w:pPr>
        <w:jc w:val="center"/>
        <w:rPr>
          <w:rFonts w:cstheme="minorHAnsi"/>
          <w:b/>
          <w:sz w:val="24"/>
        </w:rPr>
      </w:pPr>
    </w:p>
    <w:tbl>
      <w:tblPr>
        <w:tblStyle w:val="TableGrid"/>
        <w:tblW w:w="14400" w:type="dxa"/>
        <w:tblInd w:w="-725" w:type="dxa"/>
        <w:tblLook w:val="04A0" w:firstRow="1" w:lastRow="0" w:firstColumn="1" w:lastColumn="0" w:noHBand="0" w:noVBand="1"/>
      </w:tblPr>
      <w:tblGrid>
        <w:gridCol w:w="2250"/>
        <w:gridCol w:w="12150"/>
      </w:tblGrid>
      <w:tr w:rsidR="00FB27A1" w:rsidTr="00FB27A1">
        <w:tc>
          <w:tcPr>
            <w:tcW w:w="2250" w:type="dxa"/>
          </w:tcPr>
          <w:p w:rsidR="00FB27A1" w:rsidRDefault="00FB27A1" w:rsidP="00FB27A1">
            <w:pPr>
              <w:jc w:val="center"/>
              <w:rPr>
                <w:rFonts w:cstheme="minorHAnsi"/>
                <w:b/>
                <w:sz w:val="24"/>
              </w:rPr>
            </w:pPr>
            <w:r>
              <w:rPr>
                <w:rFonts w:cstheme="minorHAnsi"/>
                <w:b/>
                <w:sz w:val="24"/>
              </w:rPr>
              <w:t>Facility Name</w:t>
            </w:r>
          </w:p>
        </w:tc>
        <w:tc>
          <w:tcPr>
            <w:tcW w:w="12150" w:type="dxa"/>
          </w:tcPr>
          <w:p w:rsidR="00FB27A1" w:rsidRPr="00A944C2" w:rsidRDefault="00FB27A1" w:rsidP="00FB27A1">
            <w:pPr>
              <w:rPr>
                <w:rFonts w:cstheme="minorHAnsi"/>
                <w:sz w:val="24"/>
              </w:rPr>
            </w:pPr>
            <w:r>
              <w:rPr>
                <w:rFonts w:cstheme="minorHAnsi"/>
                <w:sz w:val="24"/>
              </w:rPr>
              <w:t>Name of the facility</w:t>
            </w:r>
          </w:p>
        </w:tc>
      </w:tr>
    </w:tbl>
    <w:p w:rsidR="00FB27A1" w:rsidRPr="00170C05" w:rsidRDefault="00FB27A1" w:rsidP="00FB27A1">
      <w:pPr>
        <w:jc w:val="center"/>
        <w:rPr>
          <w:rFonts w:cstheme="minorHAnsi"/>
          <w:b/>
          <w:sz w:val="24"/>
        </w:rPr>
      </w:pPr>
    </w:p>
    <w:tbl>
      <w:tblPr>
        <w:tblStyle w:val="TableGrid"/>
        <w:tblW w:w="14400" w:type="dxa"/>
        <w:tblInd w:w="-725" w:type="dxa"/>
        <w:tblLook w:val="04A0" w:firstRow="1" w:lastRow="0" w:firstColumn="1" w:lastColumn="0" w:noHBand="0" w:noVBand="1"/>
      </w:tblPr>
      <w:tblGrid>
        <w:gridCol w:w="2250"/>
        <w:gridCol w:w="12150"/>
      </w:tblGrid>
      <w:tr w:rsidR="00FB27A1" w:rsidRPr="00170C05" w:rsidTr="00FB27A1">
        <w:tc>
          <w:tcPr>
            <w:tcW w:w="2250" w:type="dxa"/>
          </w:tcPr>
          <w:p w:rsidR="00FB27A1" w:rsidRPr="00170C05" w:rsidRDefault="00FB27A1" w:rsidP="00FB27A1">
            <w:pPr>
              <w:jc w:val="center"/>
              <w:rPr>
                <w:rFonts w:cstheme="minorHAnsi"/>
                <w:b/>
                <w:sz w:val="24"/>
              </w:rPr>
            </w:pPr>
            <w:r w:rsidRPr="00170C05">
              <w:rPr>
                <w:rFonts w:cstheme="minorHAnsi"/>
                <w:b/>
                <w:sz w:val="24"/>
              </w:rPr>
              <w:t>FAC ID</w:t>
            </w:r>
          </w:p>
        </w:tc>
        <w:tc>
          <w:tcPr>
            <w:tcW w:w="12150" w:type="dxa"/>
          </w:tcPr>
          <w:p w:rsidR="00FB27A1" w:rsidRPr="00170C05" w:rsidRDefault="00FB27A1" w:rsidP="00FB27A1">
            <w:pPr>
              <w:rPr>
                <w:rFonts w:cstheme="minorHAnsi"/>
                <w:sz w:val="24"/>
              </w:rPr>
            </w:pPr>
            <w:r w:rsidRPr="00170C05">
              <w:rPr>
                <w:rFonts w:cstheme="minorHAnsi"/>
              </w:rPr>
              <w:t>Facility Identification Number</w:t>
            </w:r>
          </w:p>
        </w:tc>
      </w:tr>
    </w:tbl>
    <w:p w:rsidR="00FB27A1" w:rsidRDefault="00FB27A1" w:rsidP="00FB27A1">
      <w:pPr>
        <w:rPr>
          <w:rFonts w:cstheme="minorHAnsi"/>
          <w:b/>
          <w:sz w:val="24"/>
        </w:rPr>
      </w:pPr>
    </w:p>
    <w:tbl>
      <w:tblPr>
        <w:tblStyle w:val="TableGrid"/>
        <w:tblW w:w="14400" w:type="dxa"/>
        <w:tblInd w:w="-725" w:type="dxa"/>
        <w:tblLook w:val="04A0" w:firstRow="1" w:lastRow="0" w:firstColumn="1" w:lastColumn="0" w:noHBand="0" w:noVBand="1"/>
      </w:tblPr>
      <w:tblGrid>
        <w:gridCol w:w="2250"/>
        <w:gridCol w:w="12150"/>
      </w:tblGrid>
      <w:tr w:rsidR="00FB27A1" w:rsidTr="00FB27A1">
        <w:tc>
          <w:tcPr>
            <w:tcW w:w="2250" w:type="dxa"/>
          </w:tcPr>
          <w:p w:rsidR="00FB27A1" w:rsidRDefault="00FB27A1" w:rsidP="00FB27A1">
            <w:pPr>
              <w:jc w:val="center"/>
              <w:rPr>
                <w:rFonts w:cstheme="minorHAnsi"/>
                <w:b/>
                <w:sz w:val="24"/>
              </w:rPr>
            </w:pPr>
            <w:r>
              <w:rPr>
                <w:rFonts w:cstheme="minorHAnsi"/>
                <w:b/>
                <w:sz w:val="24"/>
              </w:rPr>
              <w:t>Facility Address</w:t>
            </w:r>
          </w:p>
        </w:tc>
        <w:tc>
          <w:tcPr>
            <w:tcW w:w="12150" w:type="dxa"/>
          </w:tcPr>
          <w:p w:rsidR="00FB27A1" w:rsidRPr="00A944C2" w:rsidRDefault="00FB27A1" w:rsidP="00FB27A1">
            <w:pPr>
              <w:rPr>
                <w:rFonts w:cstheme="minorHAnsi"/>
                <w:sz w:val="24"/>
              </w:rPr>
            </w:pPr>
            <w:r>
              <w:rPr>
                <w:rFonts w:cstheme="minorHAnsi"/>
                <w:sz w:val="24"/>
              </w:rPr>
              <w:t>Location of the facility</w:t>
            </w:r>
          </w:p>
        </w:tc>
      </w:tr>
    </w:tbl>
    <w:p w:rsidR="00FB27A1" w:rsidRPr="00170C05" w:rsidRDefault="00FB27A1" w:rsidP="00FB27A1">
      <w:pPr>
        <w:rPr>
          <w:rFonts w:cstheme="minorHAnsi"/>
          <w:b/>
          <w:sz w:val="24"/>
        </w:rPr>
      </w:pPr>
    </w:p>
    <w:tbl>
      <w:tblPr>
        <w:tblStyle w:val="TableGrid"/>
        <w:tblW w:w="14400" w:type="dxa"/>
        <w:tblInd w:w="-725" w:type="dxa"/>
        <w:tblLook w:val="04A0" w:firstRow="1" w:lastRow="0" w:firstColumn="1" w:lastColumn="0" w:noHBand="0" w:noVBand="1"/>
      </w:tblPr>
      <w:tblGrid>
        <w:gridCol w:w="2250"/>
        <w:gridCol w:w="12150"/>
      </w:tblGrid>
      <w:tr w:rsidR="00FB27A1" w:rsidRPr="00170C05" w:rsidTr="00FB27A1">
        <w:tc>
          <w:tcPr>
            <w:tcW w:w="2250" w:type="dxa"/>
          </w:tcPr>
          <w:p w:rsidR="00FB27A1" w:rsidRPr="00170C05" w:rsidRDefault="00FB27A1" w:rsidP="00FB27A1">
            <w:pPr>
              <w:jc w:val="center"/>
              <w:rPr>
                <w:rFonts w:cstheme="minorHAnsi"/>
                <w:b/>
                <w:sz w:val="24"/>
              </w:rPr>
            </w:pPr>
            <w:r w:rsidRPr="00170C05">
              <w:rPr>
                <w:rFonts w:cstheme="minorHAnsi"/>
                <w:b/>
                <w:sz w:val="24"/>
              </w:rPr>
              <w:t>Source Type</w:t>
            </w:r>
          </w:p>
        </w:tc>
        <w:tc>
          <w:tcPr>
            <w:tcW w:w="12150" w:type="dxa"/>
          </w:tcPr>
          <w:p w:rsidR="00FB27A1" w:rsidRPr="00170C05" w:rsidRDefault="00FB27A1" w:rsidP="00FB27A1">
            <w:pPr>
              <w:rPr>
                <w:rFonts w:cstheme="minorHAnsi"/>
                <w:sz w:val="24"/>
              </w:rPr>
            </w:pPr>
            <w:r w:rsidRPr="00170C05">
              <w:rPr>
                <w:rFonts w:cstheme="minorHAnsi"/>
              </w:rPr>
              <w:t>The type of source for a given facility</w:t>
            </w:r>
          </w:p>
        </w:tc>
      </w:tr>
    </w:tbl>
    <w:p w:rsidR="00FB27A1" w:rsidRPr="00170C05" w:rsidRDefault="00FB27A1" w:rsidP="00FB27A1">
      <w:pPr>
        <w:jc w:val="center"/>
        <w:rPr>
          <w:rFonts w:cstheme="minorHAnsi"/>
          <w:b/>
          <w:sz w:val="24"/>
        </w:rPr>
      </w:pPr>
    </w:p>
    <w:tbl>
      <w:tblPr>
        <w:tblStyle w:val="TableGrid"/>
        <w:tblW w:w="14400" w:type="dxa"/>
        <w:tblInd w:w="-725" w:type="dxa"/>
        <w:tblLook w:val="04A0" w:firstRow="1" w:lastRow="0" w:firstColumn="1" w:lastColumn="0" w:noHBand="0" w:noVBand="1"/>
      </w:tblPr>
      <w:tblGrid>
        <w:gridCol w:w="2250"/>
        <w:gridCol w:w="12150"/>
      </w:tblGrid>
      <w:tr w:rsidR="00FB27A1" w:rsidRPr="00170C05" w:rsidTr="00FB27A1">
        <w:tc>
          <w:tcPr>
            <w:tcW w:w="2250" w:type="dxa"/>
          </w:tcPr>
          <w:p w:rsidR="00FB27A1" w:rsidRPr="00170C05" w:rsidRDefault="00FB27A1" w:rsidP="00FB27A1">
            <w:pPr>
              <w:jc w:val="center"/>
              <w:rPr>
                <w:rFonts w:cstheme="minorHAnsi"/>
                <w:b/>
                <w:sz w:val="24"/>
              </w:rPr>
            </w:pPr>
            <w:r w:rsidRPr="00170C05">
              <w:rPr>
                <w:rFonts w:cstheme="minorHAnsi"/>
                <w:b/>
                <w:sz w:val="24"/>
              </w:rPr>
              <w:t>Prioritization Scores</w:t>
            </w:r>
          </w:p>
        </w:tc>
        <w:tc>
          <w:tcPr>
            <w:tcW w:w="12150" w:type="dxa"/>
          </w:tcPr>
          <w:p w:rsidR="00FB27A1" w:rsidRPr="00170C05" w:rsidRDefault="00FB27A1" w:rsidP="00FB27A1">
            <w:pPr>
              <w:rPr>
                <w:rFonts w:cstheme="minorHAnsi"/>
              </w:rPr>
            </w:pPr>
            <w:r w:rsidRPr="00170C05">
              <w:rPr>
                <w:rFonts w:cstheme="minorHAnsi"/>
              </w:rPr>
              <w:t>The first step in a conservative risk representation for a facility</w:t>
            </w:r>
          </w:p>
        </w:tc>
      </w:tr>
      <w:tr w:rsidR="00FB27A1" w:rsidRPr="00170C05" w:rsidTr="00FB27A1">
        <w:tc>
          <w:tcPr>
            <w:tcW w:w="2250" w:type="dxa"/>
          </w:tcPr>
          <w:p w:rsidR="00FB27A1" w:rsidRPr="00170C05" w:rsidRDefault="00FB27A1" w:rsidP="00FB27A1">
            <w:pPr>
              <w:jc w:val="center"/>
              <w:rPr>
                <w:rFonts w:cstheme="minorHAnsi"/>
                <w:sz w:val="24"/>
              </w:rPr>
            </w:pPr>
            <w:r w:rsidRPr="00170C05">
              <w:rPr>
                <w:rFonts w:cstheme="minorHAnsi"/>
                <w:sz w:val="24"/>
              </w:rPr>
              <w:t>Acute</w:t>
            </w:r>
          </w:p>
        </w:tc>
        <w:tc>
          <w:tcPr>
            <w:tcW w:w="12150" w:type="dxa"/>
          </w:tcPr>
          <w:p w:rsidR="00FB27A1" w:rsidRPr="00170C05" w:rsidRDefault="00FB27A1" w:rsidP="00FB27A1">
            <w:pPr>
              <w:rPr>
                <w:rFonts w:cstheme="minorHAnsi"/>
              </w:rPr>
            </w:pPr>
            <w:r w:rsidRPr="00170C05">
              <w:rPr>
                <w:rFonts w:cstheme="minorHAnsi"/>
              </w:rPr>
              <w:t>Acute or short term health effects caused by the pollutants</w:t>
            </w:r>
          </w:p>
        </w:tc>
      </w:tr>
      <w:tr w:rsidR="00FB27A1" w:rsidRPr="00170C05" w:rsidTr="00FB27A1">
        <w:tc>
          <w:tcPr>
            <w:tcW w:w="2250" w:type="dxa"/>
          </w:tcPr>
          <w:p w:rsidR="00FB27A1" w:rsidRPr="00170C05" w:rsidRDefault="00FB27A1" w:rsidP="00FB27A1">
            <w:pPr>
              <w:jc w:val="center"/>
              <w:rPr>
                <w:rFonts w:cstheme="minorHAnsi"/>
                <w:sz w:val="24"/>
              </w:rPr>
            </w:pPr>
            <w:r w:rsidRPr="00170C05">
              <w:rPr>
                <w:rFonts w:cstheme="minorHAnsi"/>
                <w:sz w:val="24"/>
              </w:rPr>
              <w:t>Chronic</w:t>
            </w:r>
          </w:p>
        </w:tc>
        <w:tc>
          <w:tcPr>
            <w:tcW w:w="12150" w:type="dxa"/>
          </w:tcPr>
          <w:p w:rsidR="00FB27A1" w:rsidRPr="00170C05" w:rsidRDefault="00FB27A1" w:rsidP="00FB27A1">
            <w:pPr>
              <w:rPr>
                <w:rFonts w:cstheme="minorHAnsi"/>
              </w:rPr>
            </w:pPr>
            <w:r w:rsidRPr="00170C05">
              <w:rPr>
                <w:rFonts w:cstheme="minorHAnsi"/>
              </w:rPr>
              <w:t>Chronic or long-term non-cancer health effects caused by the pollutants</w:t>
            </w:r>
          </w:p>
        </w:tc>
      </w:tr>
      <w:tr w:rsidR="00FB27A1" w:rsidRPr="00170C05" w:rsidTr="00FB27A1">
        <w:tc>
          <w:tcPr>
            <w:tcW w:w="2250" w:type="dxa"/>
          </w:tcPr>
          <w:p w:rsidR="00FB27A1" w:rsidRPr="00170C05" w:rsidRDefault="00FB27A1" w:rsidP="00FB27A1">
            <w:pPr>
              <w:jc w:val="center"/>
              <w:rPr>
                <w:rFonts w:cstheme="minorHAnsi"/>
                <w:sz w:val="24"/>
              </w:rPr>
            </w:pPr>
            <w:r w:rsidRPr="00170C05">
              <w:rPr>
                <w:rFonts w:cstheme="minorHAnsi"/>
                <w:sz w:val="24"/>
              </w:rPr>
              <w:t>Cancer</w:t>
            </w:r>
          </w:p>
        </w:tc>
        <w:tc>
          <w:tcPr>
            <w:tcW w:w="12150" w:type="dxa"/>
          </w:tcPr>
          <w:p w:rsidR="00FB27A1" w:rsidRPr="00170C05" w:rsidRDefault="00FB27A1" w:rsidP="00FB27A1">
            <w:pPr>
              <w:rPr>
                <w:rFonts w:cstheme="minorHAnsi"/>
              </w:rPr>
            </w:pPr>
            <w:r w:rsidRPr="00170C05">
              <w:rPr>
                <w:rFonts w:cstheme="minorHAnsi"/>
              </w:rPr>
              <w:t>Potential cancer risk in terms of chances per one million population</w:t>
            </w:r>
          </w:p>
        </w:tc>
      </w:tr>
    </w:tbl>
    <w:p w:rsidR="00FB27A1" w:rsidRPr="00170C05" w:rsidRDefault="00FB27A1" w:rsidP="00FB27A1">
      <w:pPr>
        <w:jc w:val="center"/>
        <w:rPr>
          <w:rFonts w:cstheme="minorHAnsi"/>
          <w:b/>
          <w:sz w:val="24"/>
        </w:rPr>
      </w:pPr>
    </w:p>
    <w:tbl>
      <w:tblPr>
        <w:tblStyle w:val="TableGrid"/>
        <w:tblW w:w="14400" w:type="dxa"/>
        <w:tblInd w:w="-725" w:type="dxa"/>
        <w:tblLook w:val="04A0" w:firstRow="1" w:lastRow="0" w:firstColumn="1" w:lastColumn="0" w:noHBand="0" w:noVBand="1"/>
      </w:tblPr>
      <w:tblGrid>
        <w:gridCol w:w="2250"/>
        <w:gridCol w:w="12150"/>
      </w:tblGrid>
      <w:tr w:rsidR="00FB27A1" w:rsidRPr="00170C05" w:rsidTr="00FB27A1">
        <w:tc>
          <w:tcPr>
            <w:tcW w:w="2250" w:type="dxa"/>
          </w:tcPr>
          <w:p w:rsidR="00FB27A1" w:rsidRPr="00170C05" w:rsidRDefault="00FB27A1" w:rsidP="00FB27A1">
            <w:pPr>
              <w:jc w:val="center"/>
              <w:rPr>
                <w:rFonts w:cstheme="minorHAnsi"/>
                <w:b/>
                <w:sz w:val="24"/>
              </w:rPr>
            </w:pPr>
            <w:r w:rsidRPr="00170C05">
              <w:rPr>
                <w:rFonts w:cstheme="minorHAnsi"/>
                <w:b/>
                <w:sz w:val="24"/>
              </w:rPr>
              <w:t>Priority</w:t>
            </w:r>
          </w:p>
        </w:tc>
        <w:tc>
          <w:tcPr>
            <w:tcW w:w="12150" w:type="dxa"/>
          </w:tcPr>
          <w:p w:rsidR="00FB27A1" w:rsidRPr="00170C05" w:rsidRDefault="00FB27A1" w:rsidP="00FB27A1">
            <w:pPr>
              <w:rPr>
                <w:rFonts w:cstheme="minorHAnsi"/>
              </w:rPr>
            </w:pPr>
            <w:r w:rsidRPr="00170C05">
              <w:rPr>
                <w:rFonts w:cstheme="minorHAnsi"/>
              </w:rPr>
              <w:t>Ranking a facility for inventory updated based on their prioritization score and/or risk assessment</w:t>
            </w:r>
          </w:p>
        </w:tc>
      </w:tr>
      <w:tr w:rsidR="00FB27A1" w:rsidRPr="00170C05" w:rsidTr="00FB27A1">
        <w:tc>
          <w:tcPr>
            <w:tcW w:w="2250" w:type="dxa"/>
          </w:tcPr>
          <w:p w:rsidR="00FB27A1" w:rsidRPr="00170C05" w:rsidRDefault="00FB27A1" w:rsidP="00FB27A1">
            <w:pPr>
              <w:jc w:val="center"/>
              <w:rPr>
                <w:rFonts w:cstheme="minorHAnsi"/>
                <w:sz w:val="24"/>
              </w:rPr>
            </w:pPr>
            <w:r w:rsidRPr="00170C05">
              <w:rPr>
                <w:rFonts w:cstheme="minorHAnsi"/>
                <w:sz w:val="24"/>
              </w:rPr>
              <w:t>High</w:t>
            </w:r>
          </w:p>
        </w:tc>
        <w:tc>
          <w:tcPr>
            <w:tcW w:w="12150" w:type="dxa"/>
          </w:tcPr>
          <w:p w:rsidR="00FB27A1" w:rsidRPr="00170C05" w:rsidRDefault="00FB27A1" w:rsidP="00FB27A1">
            <w:pPr>
              <w:rPr>
                <w:rFonts w:cstheme="minorHAnsi"/>
              </w:rPr>
            </w:pPr>
            <w:r w:rsidRPr="00170C05">
              <w:rPr>
                <w:rFonts w:cstheme="minorHAnsi"/>
              </w:rPr>
              <w:t xml:space="preserve">A facility with a prioritization score greater than or equal to 10 </w:t>
            </w:r>
            <w:r>
              <w:rPr>
                <w:rFonts w:cstheme="minorHAnsi"/>
              </w:rPr>
              <w:t>(Subject to Quad Year Reporting - Next Report due in 2028)</w:t>
            </w:r>
          </w:p>
        </w:tc>
      </w:tr>
      <w:tr w:rsidR="00FB27A1" w:rsidRPr="00170C05" w:rsidTr="00FB27A1">
        <w:tc>
          <w:tcPr>
            <w:tcW w:w="2250" w:type="dxa"/>
          </w:tcPr>
          <w:p w:rsidR="00FB27A1" w:rsidRPr="00170C05" w:rsidRDefault="00FB27A1" w:rsidP="00FB27A1">
            <w:pPr>
              <w:jc w:val="center"/>
              <w:rPr>
                <w:rFonts w:cstheme="minorHAnsi"/>
                <w:sz w:val="24"/>
              </w:rPr>
            </w:pPr>
            <w:r w:rsidRPr="00170C05">
              <w:rPr>
                <w:rFonts w:cstheme="minorHAnsi"/>
                <w:sz w:val="24"/>
              </w:rPr>
              <w:t>Intermediate</w:t>
            </w:r>
          </w:p>
        </w:tc>
        <w:tc>
          <w:tcPr>
            <w:tcW w:w="12150" w:type="dxa"/>
          </w:tcPr>
          <w:p w:rsidR="00FB27A1" w:rsidRPr="00170C05" w:rsidRDefault="00FB27A1" w:rsidP="00FB27A1">
            <w:pPr>
              <w:rPr>
                <w:rFonts w:cstheme="minorHAnsi"/>
                <w:sz w:val="24"/>
              </w:rPr>
            </w:pPr>
            <w:r w:rsidRPr="00170C05">
              <w:rPr>
                <w:rFonts w:cstheme="minorHAnsi"/>
              </w:rPr>
              <w:t xml:space="preserve">A facility with a prioritization score less than 10 and greater than or equal </w:t>
            </w:r>
            <w:r>
              <w:rPr>
                <w:rFonts w:cstheme="minorHAnsi"/>
              </w:rPr>
              <w:t>to 1 (Subject to Quad Reporting - Next Report due in 2028)</w:t>
            </w:r>
          </w:p>
        </w:tc>
      </w:tr>
      <w:tr w:rsidR="00FB27A1" w:rsidRPr="00170C05" w:rsidTr="00FB27A1">
        <w:tc>
          <w:tcPr>
            <w:tcW w:w="2250" w:type="dxa"/>
          </w:tcPr>
          <w:p w:rsidR="00FB27A1" w:rsidRPr="00170C05" w:rsidRDefault="00FB27A1" w:rsidP="00FB27A1">
            <w:pPr>
              <w:ind w:left="360" w:hanging="360"/>
              <w:contextualSpacing/>
              <w:jc w:val="center"/>
              <w:rPr>
                <w:rFonts w:cstheme="minorHAnsi"/>
                <w:sz w:val="24"/>
              </w:rPr>
            </w:pPr>
            <w:r w:rsidRPr="00170C05">
              <w:rPr>
                <w:rFonts w:cstheme="minorHAnsi"/>
                <w:sz w:val="24"/>
              </w:rPr>
              <w:t>Low</w:t>
            </w:r>
          </w:p>
        </w:tc>
        <w:tc>
          <w:tcPr>
            <w:tcW w:w="12150" w:type="dxa"/>
          </w:tcPr>
          <w:p w:rsidR="00FB27A1" w:rsidRPr="00170C05" w:rsidRDefault="00FB27A1" w:rsidP="00FB27A1">
            <w:pPr>
              <w:rPr>
                <w:rFonts w:cstheme="minorHAnsi"/>
              </w:rPr>
            </w:pPr>
            <w:r w:rsidRPr="00170C05">
              <w:rPr>
                <w:rFonts w:cstheme="minorHAnsi"/>
              </w:rPr>
              <w:t>A facility with a prioritization score less than 1, emits less than 10 tons per year and no toxic significance</w:t>
            </w:r>
          </w:p>
        </w:tc>
      </w:tr>
    </w:tbl>
    <w:p w:rsidR="00FB27A1" w:rsidRDefault="00FB27A1" w:rsidP="00746CC4">
      <w:pPr>
        <w:autoSpaceDE/>
        <w:autoSpaceDN/>
        <w:adjustRightInd/>
        <w:spacing w:after="160" w:line="259" w:lineRule="auto"/>
        <w:jc w:val="center"/>
        <w:rPr>
          <w:rFonts w:ascii="Calibri" w:eastAsia="Calibri" w:hAnsi="Calibri"/>
          <w:b/>
          <w:sz w:val="24"/>
          <w:szCs w:val="22"/>
        </w:rPr>
      </w:pPr>
    </w:p>
    <w:p w:rsidR="00FB27A1" w:rsidRDefault="00FB27A1" w:rsidP="00746CC4">
      <w:pPr>
        <w:autoSpaceDE/>
        <w:autoSpaceDN/>
        <w:adjustRightInd/>
        <w:spacing w:after="160" w:line="259" w:lineRule="auto"/>
        <w:jc w:val="center"/>
        <w:rPr>
          <w:rFonts w:ascii="Calibri" w:eastAsia="Calibri" w:hAnsi="Calibri"/>
          <w:b/>
          <w:sz w:val="24"/>
          <w:szCs w:val="22"/>
        </w:rPr>
      </w:pPr>
    </w:p>
    <w:p w:rsidR="00FB27A1" w:rsidRDefault="00FB27A1" w:rsidP="00746CC4">
      <w:pPr>
        <w:autoSpaceDE/>
        <w:autoSpaceDN/>
        <w:adjustRightInd/>
        <w:spacing w:after="160" w:line="259" w:lineRule="auto"/>
        <w:jc w:val="center"/>
        <w:rPr>
          <w:rFonts w:ascii="Calibri" w:eastAsia="Calibri" w:hAnsi="Calibri"/>
          <w:b/>
          <w:sz w:val="24"/>
          <w:szCs w:val="22"/>
        </w:rPr>
      </w:pPr>
    </w:p>
    <w:p w:rsidR="00FB27A1" w:rsidRDefault="00FB27A1" w:rsidP="00746CC4">
      <w:pPr>
        <w:autoSpaceDE/>
        <w:autoSpaceDN/>
        <w:adjustRightInd/>
        <w:spacing w:after="160" w:line="259" w:lineRule="auto"/>
        <w:jc w:val="center"/>
        <w:rPr>
          <w:rFonts w:ascii="Calibri" w:eastAsia="Calibri" w:hAnsi="Calibri"/>
          <w:b/>
          <w:sz w:val="24"/>
          <w:szCs w:val="22"/>
        </w:rPr>
      </w:pPr>
    </w:p>
    <w:p w:rsidR="00FB27A1" w:rsidRDefault="00FB27A1" w:rsidP="00746CC4">
      <w:pPr>
        <w:autoSpaceDE/>
        <w:autoSpaceDN/>
        <w:adjustRightInd/>
        <w:spacing w:after="160" w:line="259" w:lineRule="auto"/>
        <w:jc w:val="center"/>
        <w:rPr>
          <w:rFonts w:ascii="Calibri" w:eastAsia="Calibri" w:hAnsi="Calibri"/>
          <w:b/>
          <w:sz w:val="24"/>
          <w:szCs w:val="22"/>
        </w:rPr>
      </w:pPr>
    </w:p>
    <w:p w:rsidR="00FB27A1" w:rsidRDefault="00FB27A1" w:rsidP="00746CC4">
      <w:pPr>
        <w:autoSpaceDE/>
        <w:autoSpaceDN/>
        <w:adjustRightInd/>
        <w:spacing w:after="160" w:line="259" w:lineRule="auto"/>
        <w:jc w:val="center"/>
        <w:rPr>
          <w:rFonts w:ascii="Calibri" w:eastAsia="Calibri" w:hAnsi="Calibri"/>
          <w:b/>
          <w:sz w:val="24"/>
          <w:szCs w:val="22"/>
        </w:rPr>
      </w:pPr>
    </w:p>
    <w:p w:rsidR="00FB27A1" w:rsidRDefault="00FB27A1" w:rsidP="00746CC4">
      <w:pPr>
        <w:autoSpaceDE/>
        <w:autoSpaceDN/>
        <w:adjustRightInd/>
        <w:spacing w:after="160" w:line="259" w:lineRule="auto"/>
        <w:jc w:val="center"/>
        <w:rPr>
          <w:rFonts w:ascii="Calibri" w:eastAsia="Calibri" w:hAnsi="Calibri"/>
          <w:b/>
          <w:sz w:val="24"/>
          <w:szCs w:val="22"/>
        </w:rPr>
      </w:pPr>
    </w:p>
    <w:p w:rsidR="00746CC4" w:rsidRPr="00746CC4" w:rsidRDefault="00746CC4" w:rsidP="00746CC4">
      <w:pPr>
        <w:autoSpaceDE/>
        <w:autoSpaceDN/>
        <w:adjustRightInd/>
        <w:spacing w:after="160" w:line="259" w:lineRule="auto"/>
        <w:jc w:val="center"/>
        <w:rPr>
          <w:rFonts w:ascii="Calibri" w:eastAsia="Calibri" w:hAnsi="Calibri"/>
          <w:b/>
          <w:sz w:val="24"/>
          <w:szCs w:val="22"/>
        </w:rPr>
      </w:pPr>
      <w:r w:rsidRPr="00746CC4">
        <w:rPr>
          <w:rFonts w:ascii="Calibri" w:eastAsia="Calibri" w:hAnsi="Calibri"/>
          <w:b/>
          <w:sz w:val="24"/>
          <w:szCs w:val="22"/>
        </w:rPr>
        <w:lastRenderedPageBreak/>
        <w:t>Table 1. Summary of Facilities Reviewed Under AB 2588</w:t>
      </w:r>
    </w:p>
    <w:tbl>
      <w:tblPr>
        <w:tblStyle w:val="TableGrid1"/>
        <w:tblW w:w="15120" w:type="dxa"/>
        <w:tblInd w:w="-1085" w:type="dxa"/>
        <w:tblLook w:val="04A0" w:firstRow="1" w:lastRow="0" w:firstColumn="1" w:lastColumn="0" w:noHBand="0" w:noVBand="1"/>
      </w:tblPr>
      <w:tblGrid>
        <w:gridCol w:w="3330"/>
        <w:gridCol w:w="810"/>
        <w:gridCol w:w="2970"/>
        <w:gridCol w:w="2250"/>
        <w:gridCol w:w="1260"/>
        <w:gridCol w:w="1260"/>
        <w:gridCol w:w="1260"/>
        <w:gridCol w:w="1980"/>
      </w:tblGrid>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Facility Name</w:t>
            </w:r>
          </w:p>
          <w:p w:rsidR="00746CC4" w:rsidRPr="00746CC4" w:rsidRDefault="00746CC4" w:rsidP="00746CC4">
            <w:pPr>
              <w:autoSpaceDE/>
              <w:autoSpaceDN/>
              <w:adjustRightInd/>
              <w:jc w:val="center"/>
              <w:rPr>
                <w:rFonts w:ascii="Calibri" w:eastAsia="Calibri" w:hAnsi="Calibri"/>
                <w:b/>
                <w:sz w:val="18"/>
                <w:szCs w:val="18"/>
              </w:rPr>
            </w:pPr>
          </w:p>
        </w:tc>
        <w:tc>
          <w:tcPr>
            <w:tcW w:w="81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FAC ID</w:t>
            </w:r>
          </w:p>
        </w:tc>
        <w:tc>
          <w:tcPr>
            <w:tcW w:w="297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Facility Address</w:t>
            </w:r>
          </w:p>
        </w:tc>
        <w:tc>
          <w:tcPr>
            <w:tcW w:w="225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Source Type</w:t>
            </w:r>
          </w:p>
        </w:tc>
        <w:tc>
          <w:tcPr>
            <w:tcW w:w="126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Acute Score</w:t>
            </w:r>
          </w:p>
        </w:tc>
        <w:tc>
          <w:tcPr>
            <w:tcW w:w="126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Chronic Score</w:t>
            </w:r>
          </w:p>
        </w:tc>
        <w:tc>
          <w:tcPr>
            <w:tcW w:w="126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Cancer Score</w:t>
            </w:r>
          </w:p>
        </w:tc>
        <w:tc>
          <w:tcPr>
            <w:tcW w:w="198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Priority</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Depue Warehouse – Maxwell Dryer</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 Comet Lane - Maxwell</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0.2707</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0.1437</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0.2927</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Depue Warehouse – Azevedo Dryer</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401 C Street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0.6485</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1.8214</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0.7846</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Farmers Rice Dryer #1</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4937 Highway 45 -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0.1400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0.3544</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0.7473</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Barrett’s Landing Warehouse</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8666 Millers Landing Rd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1.6576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0.7070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Depue Warehouse – Delevan Dryer</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4854 Highway 99 - Maxwell</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0.2781</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0.1108</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0.0474</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Depue Warehouse – Spooner Dryer</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12</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5999 Freshwater Road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0.2707</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0.1697</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0.0727</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Colusa Rice Company – Eastside Dryer</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13</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4073 River Road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0.5789</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0.8863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1.7876</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Strain Ranches, Inc.</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18</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1492 Strain Lane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0.2893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0.3486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0.6489</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Family Foods – Zumwalt</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1215 Lurline Avenue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8.1500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4.4701</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Davies Oil Company, Inc</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150 13</w:t>
            </w:r>
            <w:r w:rsidRPr="00746CC4">
              <w:rPr>
                <w:rFonts w:ascii="Calibri" w:eastAsia="Calibri" w:hAnsi="Calibri"/>
                <w:sz w:val="18"/>
                <w:szCs w:val="18"/>
                <w:vertAlign w:val="superscript"/>
              </w:rPr>
              <w:t>th</w:t>
            </w:r>
            <w:r w:rsidRPr="00746CC4">
              <w:rPr>
                <w:rFonts w:ascii="Calibri" w:eastAsia="Calibri" w:hAnsi="Calibri"/>
                <w:sz w:val="18"/>
                <w:szCs w:val="18"/>
              </w:rPr>
              <w:t xml:space="preserve"> Street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0.7497</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0.2005</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7.8827</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Reading Oil</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25</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1535 Lurline Avenue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0.4658</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0.1903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7.4671</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eFuel, LLC</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26</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1802 Highway 99W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0.0186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0.0031</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0.1212</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Viking Pools, Inc.</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121 Crawford Road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Fiberglass Manufacturing</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0.0004</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1.1149</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Family Foods</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6551 Struckmeyer Road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0.4602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2.2138</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7.1953</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Depue Warehouse – Cortina Dryer</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42</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3334 Highway 99W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0.6910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0.8463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1.6812</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Colusa Rice Company – Niagara</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45</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2889 Niagara Avenue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0.9159</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2.2195</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4.2682</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Depue Warehouse – Haas Dryer</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46</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5656 Haas Road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0.1621</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0.3082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0.5828</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ADM Rice Company</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47</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1603 Highway 99W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0.7196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0.3465</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ACC-GWG, LLC</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48</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6133 Abel Road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0.7196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0.3465</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PG&amp;E Delevan Compressor Station</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49</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5001 Delevan Road – Maxwell</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Distribution</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0.2423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0.1390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1.1789</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Western Foods, LLC</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540 Main Street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0.0688</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0.8172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1.8036</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Depue Warehouse – Cheney Dryer</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53</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1700 E Street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0.7926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1.1554</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0.4964</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Wadham Energy LTD Partnership</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55</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6247 Myers Road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Biomass / Fuel Burning</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0.3205</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1.4716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0.4650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County Line Warehouse</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56</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1075 Highway 99W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Warehousing / Storage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0.4416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0.3990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0.3008</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Erdman Warehouse Inc.</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8661 Ceres Avenue - Knights Landing</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0.2556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0.1113</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 xml:space="preserve">Low </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The Foothill Warehouse</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2005 Husted Road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0.0403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0.1039</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0.1958</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Chrisman Dryer</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63</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484 B Street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0.0796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0.0683</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Morning Star Packing Company</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68</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2211 Highway 99W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Food Product Processing</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0.0015</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0.0041</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0.1051</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Sun Valley Rice Co, LLC</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7050 Eddy Road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Mill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0.0230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0.0492</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Ridgetop Warehouse</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72</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5520 Loretz Road - Maxwell</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1.9198</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3.7645</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American Tower Assets – Bailey Road</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73</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6701 Bailey Road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0.0005</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0.0321</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American Tower Assets – River Road</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74</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3341 River Road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0.0023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1.5531</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Williams Sinclair – Northgate Petroleum</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200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570 E Street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0.1111</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0.0206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0.8568</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Davies Chevron – Colusa</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201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1019 Bridge Street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0.0269</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1.1173</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Davies Chevron – Maxwell</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202</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280 Highway 99W – Maxwell</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0.0103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0.4297</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Davies Chevron – Arbuckle</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203</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1129 Putnam Way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0.0392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1.6330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bl>
    <w:p w:rsidR="00746CC4" w:rsidRPr="00746CC4" w:rsidRDefault="00746CC4" w:rsidP="00746CC4">
      <w:pPr>
        <w:autoSpaceDE/>
        <w:autoSpaceDN/>
        <w:adjustRightInd/>
        <w:spacing w:after="160" w:line="259" w:lineRule="auto"/>
        <w:jc w:val="center"/>
        <w:rPr>
          <w:rFonts w:ascii="Calibri" w:eastAsia="Calibri" w:hAnsi="Calibri"/>
          <w:b/>
          <w:sz w:val="24"/>
          <w:szCs w:val="22"/>
        </w:rPr>
      </w:pPr>
      <w:r w:rsidRPr="00746CC4">
        <w:rPr>
          <w:rFonts w:ascii="Calibri" w:eastAsia="Calibri" w:hAnsi="Calibri"/>
          <w:b/>
          <w:sz w:val="24"/>
          <w:szCs w:val="22"/>
        </w:rPr>
        <w:lastRenderedPageBreak/>
        <w:t>Table 1. Summary of Facilities Reviewed Under AB 2588 (Cont.)</w:t>
      </w:r>
    </w:p>
    <w:tbl>
      <w:tblPr>
        <w:tblStyle w:val="TableGrid1"/>
        <w:tblW w:w="15120" w:type="dxa"/>
        <w:tblInd w:w="-1085" w:type="dxa"/>
        <w:tblLook w:val="04A0" w:firstRow="1" w:lastRow="0" w:firstColumn="1" w:lastColumn="0" w:noHBand="0" w:noVBand="1"/>
      </w:tblPr>
      <w:tblGrid>
        <w:gridCol w:w="3330"/>
        <w:gridCol w:w="810"/>
        <w:gridCol w:w="2970"/>
        <w:gridCol w:w="2250"/>
        <w:gridCol w:w="1260"/>
        <w:gridCol w:w="1260"/>
        <w:gridCol w:w="1260"/>
        <w:gridCol w:w="1980"/>
      </w:tblGrid>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Facility Name</w:t>
            </w:r>
          </w:p>
          <w:p w:rsidR="00746CC4" w:rsidRPr="00746CC4" w:rsidRDefault="00746CC4" w:rsidP="00746CC4">
            <w:pPr>
              <w:autoSpaceDE/>
              <w:autoSpaceDN/>
              <w:adjustRightInd/>
              <w:jc w:val="center"/>
              <w:rPr>
                <w:rFonts w:ascii="Calibri" w:eastAsia="Calibri" w:hAnsi="Calibri"/>
                <w:b/>
                <w:sz w:val="18"/>
                <w:szCs w:val="18"/>
              </w:rPr>
            </w:pPr>
          </w:p>
        </w:tc>
        <w:tc>
          <w:tcPr>
            <w:tcW w:w="81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FAC ID</w:t>
            </w:r>
          </w:p>
        </w:tc>
        <w:tc>
          <w:tcPr>
            <w:tcW w:w="297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Facility Address</w:t>
            </w:r>
          </w:p>
        </w:tc>
        <w:tc>
          <w:tcPr>
            <w:tcW w:w="225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Source Type</w:t>
            </w:r>
          </w:p>
        </w:tc>
        <w:tc>
          <w:tcPr>
            <w:tcW w:w="126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Acute Score</w:t>
            </w:r>
          </w:p>
        </w:tc>
        <w:tc>
          <w:tcPr>
            <w:tcW w:w="126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Chronic Score</w:t>
            </w:r>
          </w:p>
        </w:tc>
        <w:tc>
          <w:tcPr>
            <w:tcW w:w="126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Cancer Score</w:t>
            </w:r>
          </w:p>
        </w:tc>
        <w:tc>
          <w:tcPr>
            <w:tcW w:w="198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Priority</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Flyers Energy #448</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204</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1161 Putnam Way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0.0013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0.0543</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Reading Oil – Maxwell Card Lock</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206</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3941 Highway 99W – Maxwell</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0.0143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0.0005</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0.0202</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H&amp;S Energy Products #3019</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208</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809 Market Street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0.0123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0.5327</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Kwik Stop</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209</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11 Market Street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0.0159</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0.6601</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 xml:space="preserve">Low </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1850 Williams LLC</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210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505 4</w:t>
            </w:r>
            <w:r w:rsidRPr="00746CC4">
              <w:rPr>
                <w:rFonts w:ascii="Calibri" w:eastAsia="Calibri" w:hAnsi="Calibri"/>
                <w:sz w:val="18"/>
                <w:szCs w:val="18"/>
                <w:vertAlign w:val="superscript"/>
              </w:rPr>
              <w:t>th</w:t>
            </w:r>
            <w:r w:rsidRPr="00746CC4">
              <w:rPr>
                <w:rFonts w:ascii="Calibri" w:eastAsia="Calibri" w:hAnsi="Calibri"/>
                <w:sz w:val="18"/>
                <w:szCs w:val="18"/>
              </w:rPr>
              <w:t xml:space="preserve"> Street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0.0810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0.0540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2.2480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Orv’s Country Store &amp; Deli</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211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180 N. Virginia Way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0.0335</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1.3941</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Wayman’s 76</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212</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495 4</w:t>
            </w:r>
            <w:r w:rsidRPr="00746CC4">
              <w:rPr>
                <w:rFonts w:ascii="Calibri" w:eastAsia="Calibri" w:hAnsi="Calibri"/>
                <w:sz w:val="18"/>
                <w:szCs w:val="18"/>
                <w:vertAlign w:val="superscript"/>
              </w:rPr>
              <w:t>th</w:t>
            </w:r>
            <w:r w:rsidRPr="00746CC4">
              <w:rPr>
                <w:rFonts w:ascii="Calibri" w:eastAsia="Calibri" w:hAnsi="Calibri"/>
                <w:sz w:val="18"/>
                <w:szCs w:val="18"/>
              </w:rPr>
              <w:t xml:space="preserve"> Street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0.0173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0.7205</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Williams Express Mart</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213</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301 Vann Street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0.0174</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0.7224</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JJ’s Gas &amp; Mini Mart</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214</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690 Hillgate Road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0.0420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1.7476</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Caldwell’s Mini Mart</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215</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142 Highway 99W – Maxwell</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0.0022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0.0913</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Tamaki Rice Corporation</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216</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1701 Abel Road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Mill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0.1239</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0.0391</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Riviana Foods, Inc.</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217</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2870 Niagara Avenue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Mill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0.1792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0.0454</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Polit Farms, Inc.</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218</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4334 Highway 99W – Maxwell</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Mill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0.3320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0.0094</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Bar Ale, Inc.</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220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1011 5</w:t>
            </w:r>
            <w:r w:rsidRPr="00746CC4">
              <w:rPr>
                <w:rFonts w:ascii="Calibri" w:eastAsia="Calibri" w:hAnsi="Calibri"/>
                <w:sz w:val="18"/>
                <w:szCs w:val="18"/>
                <w:vertAlign w:val="superscript"/>
              </w:rPr>
              <w:t>th</w:t>
            </w:r>
            <w:r w:rsidRPr="00746CC4">
              <w:rPr>
                <w:rFonts w:ascii="Calibri" w:eastAsia="Calibri" w:hAnsi="Calibri"/>
                <w:sz w:val="18"/>
                <w:szCs w:val="18"/>
              </w:rPr>
              <w:t xml:space="preserve"> Street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Animal Feed Manufacturing</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0.1778</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0.3365</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1.0800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Adams Vegetable Oils</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222</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7301 John Galt Way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Oilseed Processing</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0.0270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0.0045</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0.0117</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Farmers Fresh Mushroom</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223</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2847 Niagara Avenue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Mushroom Growing</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1.0194</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0.5919</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0.0530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PG&amp;E Colusa Generating Station</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224</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4780 Dirks Road – Maxwell</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Electrical Generation</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0.4961</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0.0310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0.2282</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Ammonia Company</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225</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2229 Highway 45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Ammonia Fertilizer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0.0366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Grow West</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226</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5701 Max-Colusa Rd. – Maxwell</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Ammonia Fertilizer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0.0092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Colusa County Farm Supply</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227</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5873 Freshwater Road-Williams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Ammonia Fertilizer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0.0005</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Simplot Grower Solutions – Colusa</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228</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2947 Highway 20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Ammonia Fertilizer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0.6797</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0.0266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Wilbur Ellis Company</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229</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7254 Farinon Road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Ammonia Fertilizer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0.0016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Sunrise Dryers LLC</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230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7207 Moonbend Road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Food Product Processing</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0.0009</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0.0149</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Conrad Forest Products</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231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7085 Eddy Road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Wood Product Treating</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0.0012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0.0005</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Heritage Mills</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232</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 Comet Lane – Maxwell</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Mill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0.0054</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0.0035</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Lakeview Petroleum</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233</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720 5</w:t>
            </w:r>
            <w:r w:rsidRPr="00746CC4">
              <w:rPr>
                <w:rFonts w:ascii="Calibri" w:eastAsia="Calibri" w:hAnsi="Calibri"/>
                <w:sz w:val="18"/>
                <w:szCs w:val="18"/>
                <w:vertAlign w:val="superscript"/>
              </w:rPr>
              <w:t>th</w:t>
            </w:r>
            <w:r w:rsidRPr="00746CC4">
              <w:rPr>
                <w:rFonts w:ascii="Calibri" w:eastAsia="Calibri" w:hAnsi="Calibri"/>
                <w:sz w:val="18"/>
                <w:szCs w:val="18"/>
              </w:rPr>
              <w:t xml:space="preserve"> Street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0.0011</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0.0453</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Central Valley Gas Storage LLC</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234</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5258 McAusland Rd.-Princeton</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Storage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1.3500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3.6715</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L&amp;T Company</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235</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292 Market Street – Stonyford</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0.0010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0.0411</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Colusa County Airport</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236</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2915 Highway 20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0.0008</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0.0348</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Cal-Trans Maintenance Yard – Colusa</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237</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1401 Will S. Green Road-Colusa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0.0049</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2.9605</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Highway Patrol – Williams</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238</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100 E Street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0.0004</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0.0158</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MD Petroleum</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239</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296 E Street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0.7380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3.0723</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City of Colusa – Wye</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1320 Wescott Road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0.0116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7.8200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City of Colusa – Indian Oaks</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1801 Wescott Road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0.0103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6.9600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City of Colusa – Ross</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148 County Club Drive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0.0119</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8.0500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City of Colusa – South Wescott</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2820 Wescott Road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0.0119</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8.0500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bl>
    <w:p w:rsidR="00746CC4" w:rsidRPr="00746CC4" w:rsidRDefault="00746CC4" w:rsidP="00746CC4">
      <w:pPr>
        <w:autoSpaceDE/>
        <w:autoSpaceDN/>
        <w:adjustRightInd/>
        <w:spacing w:after="160" w:line="259" w:lineRule="auto"/>
        <w:jc w:val="center"/>
        <w:rPr>
          <w:rFonts w:ascii="Calibri" w:eastAsia="Calibri" w:hAnsi="Calibri"/>
          <w:b/>
          <w:sz w:val="24"/>
          <w:szCs w:val="22"/>
        </w:rPr>
      </w:pPr>
      <w:r w:rsidRPr="00746CC4">
        <w:rPr>
          <w:rFonts w:ascii="Calibri" w:eastAsia="Calibri" w:hAnsi="Calibri"/>
          <w:b/>
          <w:sz w:val="24"/>
          <w:szCs w:val="22"/>
        </w:rPr>
        <w:lastRenderedPageBreak/>
        <w:t>Table 1. Summary of Facilities Reviewed Under AB 2588 (Cont.)</w:t>
      </w:r>
    </w:p>
    <w:tbl>
      <w:tblPr>
        <w:tblStyle w:val="TableGrid1"/>
        <w:tblW w:w="15120" w:type="dxa"/>
        <w:tblInd w:w="-1085" w:type="dxa"/>
        <w:tblLook w:val="04A0" w:firstRow="1" w:lastRow="0" w:firstColumn="1" w:lastColumn="0" w:noHBand="0" w:noVBand="1"/>
      </w:tblPr>
      <w:tblGrid>
        <w:gridCol w:w="3330"/>
        <w:gridCol w:w="810"/>
        <w:gridCol w:w="2970"/>
        <w:gridCol w:w="2250"/>
        <w:gridCol w:w="1260"/>
        <w:gridCol w:w="1260"/>
        <w:gridCol w:w="1260"/>
        <w:gridCol w:w="1980"/>
      </w:tblGrid>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Facility Name</w:t>
            </w:r>
          </w:p>
          <w:p w:rsidR="00746CC4" w:rsidRPr="00746CC4" w:rsidRDefault="00746CC4" w:rsidP="00746CC4">
            <w:pPr>
              <w:autoSpaceDE/>
              <w:autoSpaceDN/>
              <w:adjustRightInd/>
              <w:jc w:val="center"/>
              <w:rPr>
                <w:rFonts w:ascii="Calibri" w:eastAsia="Calibri" w:hAnsi="Calibri"/>
                <w:b/>
                <w:sz w:val="18"/>
                <w:szCs w:val="18"/>
              </w:rPr>
            </w:pPr>
          </w:p>
        </w:tc>
        <w:tc>
          <w:tcPr>
            <w:tcW w:w="81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FAC ID</w:t>
            </w:r>
          </w:p>
        </w:tc>
        <w:tc>
          <w:tcPr>
            <w:tcW w:w="297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Facility Address</w:t>
            </w:r>
          </w:p>
        </w:tc>
        <w:tc>
          <w:tcPr>
            <w:tcW w:w="225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Source Type</w:t>
            </w:r>
          </w:p>
        </w:tc>
        <w:tc>
          <w:tcPr>
            <w:tcW w:w="126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Acute Score</w:t>
            </w:r>
          </w:p>
        </w:tc>
        <w:tc>
          <w:tcPr>
            <w:tcW w:w="126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Chronic Score</w:t>
            </w:r>
          </w:p>
        </w:tc>
        <w:tc>
          <w:tcPr>
            <w:tcW w:w="126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Cancer Score</w:t>
            </w:r>
          </w:p>
        </w:tc>
        <w:tc>
          <w:tcPr>
            <w:tcW w:w="198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Priority</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City of Colusa – XQ225</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12</w:t>
            </w:r>
            <w:r w:rsidRPr="00746CC4">
              <w:rPr>
                <w:rFonts w:ascii="Calibri" w:eastAsia="Calibri" w:hAnsi="Calibri"/>
                <w:sz w:val="18"/>
                <w:szCs w:val="18"/>
                <w:vertAlign w:val="superscript"/>
              </w:rPr>
              <w:t>th</w:t>
            </w:r>
            <w:r w:rsidRPr="00746CC4">
              <w:rPr>
                <w:rFonts w:ascii="Calibri" w:eastAsia="Calibri" w:hAnsi="Calibri"/>
                <w:sz w:val="18"/>
                <w:szCs w:val="18"/>
              </w:rPr>
              <w:t xml:space="preserve"> and Main Street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0.4060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City of Colusa – XQ125</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12</w:t>
            </w:r>
            <w:r w:rsidRPr="00746CC4">
              <w:rPr>
                <w:rFonts w:ascii="Calibri" w:eastAsia="Calibri" w:hAnsi="Calibri"/>
                <w:sz w:val="18"/>
                <w:szCs w:val="18"/>
                <w:vertAlign w:val="superscript"/>
              </w:rPr>
              <w:t>th</w:t>
            </w:r>
            <w:r w:rsidRPr="00746CC4">
              <w:rPr>
                <w:rFonts w:ascii="Calibri" w:eastAsia="Calibri" w:hAnsi="Calibri"/>
                <w:sz w:val="18"/>
                <w:szCs w:val="18"/>
              </w:rPr>
              <w:t xml:space="preserve"> and Main Street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0.0005</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0.3090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City of Colusa – Wastewater Plant</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2820 Wescott Road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0.0115</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City of Colusa – Will S. Green Ave</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Will S. Green Avenue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0.0017</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1.1600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City of Colusa – City Hall</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425 Webster Street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0.0130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8.7800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 xml:space="preserve">City of Williams – Vann Street </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Vann Street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0.0234</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1.5800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City of Williams – City Hall</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810 E Street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0.0019</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1.2600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City of Williams – Marguerite Street</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Marguerite Street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0.0079</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5.3400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City of Williams – Police Department</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700 N. 7</w:t>
            </w:r>
            <w:r w:rsidRPr="00746CC4">
              <w:rPr>
                <w:rFonts w:ascii="Calibri" w:eastAsia="Calibri" w:hAnsi="Calibri"/>
                <w:sz w:val="18"/>
                <w:szCs w:val="18"/>
                <w:vertAlign w:val="superscript"/>
              </w:rPr>
              <w:t>th</w:t>
            </w:r>
            <w:r w:rsidRPr="00746CC4">
              <w:rPr>
                <w:rFonts w:ascii="Calibri" w:eastAsia="Calibri" w:hAnsi="Calibri"/>
                <w:sz w:val="18"/>
                <w:szCs w:val="18"/>
              </w:rPr>
              <w:t xml:space="preserve"> Street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0.0041</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2.7700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City of Williams – WWTP</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701 B Street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0.0012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0.8110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City of Williams – Theater Road</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795 Theater Road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0.0001</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0.0682</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City of Williams – 6</w:t>
            </w:r>
            <w:r w:rsidRPr="00746CC4">
              <w:rPr>
                <w:rFonts w:ascii="Calibri" w:eastAsia="Calibri" w:hAnsi="Calibri"/>
                <w:sz w:val="18"/>
                <w:szCs w:val="18"/>
                <w:vertAlign w:val="superscript"/>
              </w:rPr>
              <w:t>th</w:t>
            </w:r>
            <w:r w:rsidRPr="00746CC4">
              <w:rPr>
                <w:rFonts w:ascii="Calibri" w:eastAsia="Calibri" w:hAnsi="Calibri"/>
                <w:sz w:val="18"/>
                <w:szCs w:val="18"/>
              </w:rPr>
              <w:t xml:space="preserve"> Street</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764 6</w:t>
            </w:r>
            <w:r w:rsidRPr="00746CC4">
              <w:rPr>
                <w:rFonts w:ascii="Calibri" w:eastAsia="Calibri" w:hAnsi="Calibri"/>
                <w:sz w:val="18"/>
                <w:szCs w:val="18"/>
                <w:vertAlign w:val="superscript"/>
              </w:rPr>
              <w:t>th</w:t>
            </w:r>
            <w:r w:rsidRPr="00746CC4">
              <w:rPr>
                <w:rFonts w:ascii="Calibri" w:eastAsia="Calibri" w:hAnsi="Calibri"/>
                <w:sz w:val="18"/>
                <w:szCs w:val="18"/>
              </w:rPr>
              <w:t xml:space="preserve"> Street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0.0001</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0.1120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City of Williams – Mills Drive</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915 Mills Drive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0.0001</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0.1120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Lone Peak Farms, LLC</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244</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4599 McDermott Road-Maxwell</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Commodity Processor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0.0005</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0.0009</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Sanders Seed, Inc.</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245</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3133 Wilson Road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Commodity Processor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0.0077</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0.0122</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Mumma Brothers</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246</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7645 Mumma Road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Commodity Processor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0.0034</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Remington Seeds</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247</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98 Mail Street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Commodity Processor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0.0179</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0.0939</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Sacramento Valley Seed</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248</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5498 Lurline Avenue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Commodity Processor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0.0039</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0.0001</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American Tower Corp. – Williams CA 2</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252</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890 Peto Road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0.0004</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0.2799</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Arnold’s Tractor Service</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253</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6956 Highway 20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 xml:space="preserve">Low </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AT&amp;T Corporation – Leesville</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254</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Leesville Road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0.000976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0.0263</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AT&amp;T Corporation – Stonyford</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255</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4835 Ladoga-Stonyford Road - Stonyford</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0.00942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6.35</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AT&amp;T Corporation – College City</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256</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770 College City Road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0.0004</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0.0054</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New Cingular Wireless dba AT&amp;T – Grapevine</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257</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Grapevine Pass – Stonyford</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0.0045</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3.0436</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Resources Production Corp. – 18K MM</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259</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Grimes-Arbuckle Road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0.0036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Resources Production Corp. – Arbuckle Road 36</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262</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Highway 45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0.0072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0.0004</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0.0044</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Resources Production Corp. – Moonbend Colusa Unit</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264</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Moonbend Road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0.0222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0.0007</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Resources Production Corp. – DL Moore 17-1</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265</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Poundstone Road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0.0263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0.0002</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Resources Production Corp. – GOU 7-23, 7-24</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267</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Highway 45 -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0.0021</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0.0002</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bl>
    <w:p w:rsidR="00746CC4" w:rsidRPr="00746CC4" w:rsidRDefault="00746CC4" w:rsidP="00746CC4">
      <w:pPr>
        <w:autoSpaceDE/>
        <w:autoSpaceDN/>
        <w:adjustRightInd/>
        <w:spacing w:after="160" w:line="259" w:lineRule="auto"/>
        <w:jc w:val="center"/>
        <w:rPr>
          <w:rFonts w:ascii="Calibri" w:eastAsia="Calibri" w:hAnsi="Calibri"/>
          <w:b/>
          <w:sz w:val="24"/>
          <w:szCs w:val="22"/>
        </w:rPr>
      </w:pPr>
      <w:r w:rsidRPr="00746CC4">
        <w:rPr>
          <w:rFonts w:ascii="Calibri" w:eastAsia="Calibri" w:hAnsi="Calibri"/>
          <w:b/>
          <w:sz w:val="24"/>
          <w:szCs w:val="22"/>
        </w:rPr>
        <w:lastRenderedPageBreak/>
        <w:t>Table 1. Summary of Facilities Reviewed Under AB 2588 (Cont.)</w:t>
      </w:r>
    </w:p>
    <w:tbl>
      <w:tblPr>
        <w:tblStyle w:val="TableGrid1"/>
        <w:tblW w:w="15120" w:type="dxa"/>
        <w:tblInd w:w="-1085" w:type="dxa"/>
        <w:tblLook w:val="04A0" w:firstRow="1" w:lastRow="0" w:firstColumn="1" w:lastColumn="0" w:noHBand="0" w:noVBand="1"/>
      </w:tblPr>
      <w:tblGrid>
        <w:gridCol w:w="3330"/>
        <w:gridCol w:w="810"/>
        <w:gridCol w:w="2970"/>
        <w:gridCol w:w="2250"/>
        <w:gridCol w:w="1260"/>
        <w:gridCol w:w="1260"/>
        <w:gridCol w:w="1260"/>
        <w:gridCol w:w="1980"/>
      </w:tblGrid>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Facility Name</w:t>
            </w:r>
          </w:p>
          <w:p w:rsidR="00746CC4" w:rsidRPr="00746CC4" w:rsidRDefault="00746CC4" w:rsidP="00746CC4">
            <w:pPr>
              <w:autoSpaceDE/>
              <w:autoSpaceDN/>
              <w:adjustRightInd/>
              <w:jc w:val="center"/>
              <w:rPr>
                <w:rFonts w:ascii="Calibri" w:eastAsia="Calibri" w:hAnsi="Calibri"/>
                <w:b/>
                <w:sz w:val="18"/>
                <w:szCs w:val="18"/>
              </w:rPr>
            </w:pPr>
          </w:p>
        </w:tc>
        <w:tc>
          <w:tcPr>
            <w:tcW w:w="81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FAC ID</w:t>
            </w:r>
          </w:p>
        </w:tc>
        <w:tc>
          <w:tcPr>
            <w:tcW w:w="297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Facility Address</w:t>
            </w:r>
          </w:p>
        </w:tc>
        <w:tc>
          <w:tcPr>
            <w:tcW w:w="225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Source Type</w:t>
            </w:r>
          </w:p>
        </w:tc>
        <w:tc>
          <w:tcPr>
            <w:tcW w:w="126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Acute Score</w:t>
            </w:r>
          </w:p>
        </w:tc>
        <w:tc>
          <w:tcPr>
            <w:tcW w:w="126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Chronic Score</w:t>
            </w:r>
          </w:p>
        </w:tc>
        <w:tc>
          <w:tcPr>
            <w:tcW w:w="126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Cancer Score</w:t>
            </w:r>
          </w:p>
        </w:tc>
        <w:tc>
          <w:tcPr>
            <w:tcW w:w="198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Priority</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Resources Production Corp. – Henshaw 2 MM</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269</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Steidlmayer Road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0.0020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0.0128</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0.0549</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Resources Production Corp. – Kalfsbeek MM</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271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Poundstone Road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Resources Production Corp. – Kuppenbender 20-3</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272</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Highway 45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0.0007</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Resources Production Corp. – South Sycamore 13-1</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277</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Grimes-Arbuckle Road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0.0128</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0.0007</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Resources Production Corp. – Strain Ranch 16-3 MM</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282</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Grimes-Arbuckle Road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0.0026</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Cal-Vista Erosion Products</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283</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6999 Greenbay Road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Tree Line Dryer</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286</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7251 Tule Road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0.0083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0.0055</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Colusa Indian Community Council</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287</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3730 Highway 45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Entertainment</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0.6181</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County of Colusa – Migrant Farm Housing</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288</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400 Theatre Road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0.0205</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County of Colusa–Sheriff’s Department</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289</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929 Bridge Street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0.0004</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2.8512</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Farmers’ Rice Cooperative – Abel Rd.</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291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6215 Abel Road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Warehousing/Storage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0.0084</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0.0001</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Federal Aviation Administration</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292</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Miller Road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0.0005</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Johnson’s Printing &amp; Design</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294</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631 Market Street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Printer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Level III Communications – Arbuckle</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295</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6581 Hahn Road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0.0025</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1.7095</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Level III Communications – Colusa</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296</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210 10</w:t>
            </w:r>
            <w:r w:rsidRPr="00746CC4">
              <w:rPr>
                <w:rFonts w:ascii="Calibri" w:eastAsia="Calibri" w:hAnsi="Calibri"/>
                <w:sz w:val="18"/>
                <w:szCs w:val="18"/>
                <w:vertAlign w:val="superscript"/>
              </w:rPr>
              <w:t>th</w:t>
            </w:r>
            <w:r w:rsidRPr="00746CC4">
              <w:rPr>
                <w:rFonts w:ascii="Calibri" w:eastAsia="Calibri" w:hAnsi="Calibri"/>
                <w:sz w:val="18"/>
                <w:szCs w:val="18"/>
              </w:rPr>
              <w:t xml:space="preserve"> Street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0.0102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6.8600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Maxwell Public Utility District</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297</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East Avenue – Maxwell</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0.0022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1.4587</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Seminis Vegetable Seeds, Inc.</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298</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 Seminis Road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Commodity Processor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New Cingular Wireless dba AT&amp;T – Huffmaster</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299</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Huffmaster Road – Maxwell</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0.0015</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Pacific Bell dba AT&amp;T</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300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161 Market Street – Stonyford</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0.0482</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PG&amp;E – Colusa Service Station</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302</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102 2</w:t>
            </w:r>
            <w:r w:rsidRPr="00746CC4">
              <w:rPr>
                <w:rFonts w:ascii="Calibri" w:eastAsia="Calibri" w:hAnsi="Calibri"/>
                <w:sz w:val="18"/>
                <w:szCs w:val="18"/>
                <w:vertAlign w:val="superscript"/>
              </w:rPr>
              <w:t>nd</w:t>
            </w:r>
            <w:r w:rsidRPr="00746CC4">
              <w:rPr>
                <w:rFonts w:ascii="Calibri" w:eastAsia="Calibri" w:hAnsi="Calibri"/>
                <w:sz w:val="18"/>
                <w:szCs w:val="18"/>
              </w:rPr>
              <w:t xml:space="preserve"> Street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Public Utility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0.0051</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3.4100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PG&amp;E – Cortina Substation</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303</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5217 Walnut Drive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Public Utility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0.0008</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0.0155</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PG&amp;E – Grapevine Pass</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304</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Rail Canyon Road - Stonyford</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Public Utility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0.0038</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2.5570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PG&amp;E – Wild Goose Odorizing Facility</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305</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4999 Delevan Road – Maxwell</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R&amp;J Farms</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306</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1245 Putnam Way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0.1436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0.1237</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Family Foods – Rice Researchers Bins</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307</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Gibson Road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0.0006</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Royal Energy – Lonestar MM</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308</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Lonestar Road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0.0072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0.0008</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0.0077</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33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Royal Energy – Zumwalt MM</w:t>
            </w:r>
          </w:p>
        </w:tc>
        <w:tc>
          <w:tcPr>
            <w:tcW w:w="81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310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San Jose Road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0.0013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0.0012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0.0052</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bl>
    <w:p w:rsidR="00746CC4" w:rsidRDefault="00746CC4" w:rsidP="00746CC4">
      <w:pPr>
        <w:autoSpaceDE/>
        <w:autoSpaceDN/>
        <w:adjustRightInd/>
        <w:spacing w:after="160" w:line="259" w:lineRule="auto"/>
        <w:rPr>
          <w:rFonts w:ascii="Calibri" w:eastAsia="Calibri" w:hAnsi="Calibri"/>
          <w:b/>
          <w:sz w:val="24"/>
          <w:szCs w:val="22"/>
        </w:rPr>
      </w:pPr>
    </w:p>
    <w:p w:rsidR="00746CC4" w:rsidRPr="00746CC4" w:rsidRDefault="00746CC4" w:rsidP="00746CC4">
      <w:pPr>
        <w:autoSpaceDE/>
        <w:autoSpaceDN/>
        <w:adjustRightInd/>
        <w:spacing w:after="160" w:line="259" w:lineRule="auto"/>
        <w:jc w:val="center"/>
        <w:rPr>
          <w:rFonts w:ascii="Calibri" w:eastAsia="Calibri" w:hAnsi="Calibri"/>
          <w:b/>
          <w:sz w:val="24"/>
          <w:szCs w:val="22"/>
        </w:rPr>
      </w:pPr>
      <w:r w:rsidRPr="00746CC4">
        <w:rPr>
          <w:rFonts w:ascii="Calibri" w:eastAsia="Calibri" w:hAnsi="Calibri"/>
          <w:b/>
          <w:sz w:val="24"/>
          <w:szCs w:val="22"/>
        </w:rPr>
        <w:lastRenderedPageBreak/>
        <w:t>Table 1. Summary of Facilities Reviewed Under AB 2588 (Cont.)</w:t>
      </w:r>
    </w:p>
    <w:tbl>
      <w:tblPr>
        <w:tblStyle w:val="TableGrid1"/>
        <w:tblW w:w="15120" w:type="dxa"/>
        <w:tblInd w:w="-1085" w:type="dxa"/>
        <w:tblLook w:val="04A0" w:firstRow="1" w:lastRow="0" w:firstColumn="1" w:lastColumn="0" w:noHBand="0" w:noVBand="1"/>
      </w:tblPr>
      <w:tblGrid>
        <w:gridCol w:w="3420"/>
        <w:gridCol w:w="720"/>
        <w:gridCol w:w="2970"/>
        <w:gridCol w:w="2250"/>
        <w:gridCol w:w="1260"/>
        <w:gridCol w:w="1260"/>
        <w:gridCol w:w="1260"/>
        <w:gridCol w:w="1980"/>
      </w:tblGrid>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Facility Name</w:t>
            </w:r>
          </w:p>
          <w:p w:rsidR="00746CC4" w:rsidRPr="00746CC4" w:rsidRDefault="00746CC4" w:rsidP="00746CC4">
            <w:pPr>
              <w:autoSpaceDE/>
              <w:autoSpaceDN/>
              <w:adjustRightInd/>
              <w:jc w:val="center"/>
              <w:rPr>
                <w:rFonts w:ascii="Calibri" w:eastAsia="Calibri" w:hAnsi="Calibri"/>
                <w:b/>
                <w:sz w:val="18"/>
                <w:szCs w:val="18"/>
              </w:rPr>
            </w:pPr>
          </w:p>
        </w:tc>
        <w:tc>
          <w:tcPr>
            <w:tcW w:w="72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FAC ID</w:t>
            </w:r>
          </w:p>
        </w:tc>
        <w:tc>
          <w:tcPr>
            <w:tcW w:w="297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Facility Address</w:t>
            </w:r>
          </w:p>
        </w:tc>
        <w:tc>
          <w:tcPr>
            <w:tcW w:w="225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Source Type</w:t>
            </w:r>
          </w:p>
        </w:tc>
        <w:tc>
          <w:tcPr>
            <w:tcW w:w="126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Acute Score</w:t>
            </w:r>
          </w:p>
        </w:tc>
        <w:tc>
          <w:tcPr>
            <w:tcW w:w="126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Chronic Score</w:t>
            </w:r>
          </w:p>
        </w:tc>
        <w:tc>
          <w:tcPr>
            <w:tcW w:w="126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Cancer Score</w:t>
            </w:r>
          </w:p>
        </w:tc>
        <w:tc>
          <w:tcPr>
            <w:tcW w:w="1980" w:type="dxa"/>
          </w:tcPr>
          <w:p w:rsidR="00746CC4" w:rsidRPr="00746CC4" w:rsidRDefault="00746CC4" w:rsidP="00746CC4">
            <w:pPr>
              <w:autoSpaceDE/>
              <w:autoSpaceDN/>
              <w:adjustRightInd/>
              <w:jc w:val="center"/>
              <w:rPr>
                <w:rFonts w:ascii="Calibri" w:eastAsia="Calibri" w:hAnsi="Calibri"/>
                <w:b/>
                <w:sz w:val="18"/>
                <w:szCs w:val="18"/>
              </w:rPr>
            </w:pPr>
            <w:r w:rsidRPr="00746CC4">
              <w:rPr>
                <w:rFonts w:ascii="Calibri" w:eastAsia="Calibri" w:hAnsi="Calibri"/>
                <w:b/>
                <w:sz w:val="18"/>
                <w:szCs w:val="18"/>
              </w:rPr>
              <w:t>Priority</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Selover’s Auto Body</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312</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401 Jay Street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Auto Body Shop</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NP</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T&amp;P Farms – Grimes Dryer</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313</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1351 Highway 45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Dryer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0.0030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0.0014</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T&amp;P Farms – Vineseed</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314</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1241 Putnam Way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Commodity Processor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0.0001</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0.0025</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Harvest Petroleum – Wilkins B1 MM</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316</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White Road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0.0003</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Valley Select</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317</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7068 Eddy Road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Rice Mill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0.0002</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Verizon Wireless – Arbuckle</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318</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6701 Bailey Road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Verizon Wireless – Colusa</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319</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3145 Will S. Green Ave.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0.0012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0.7902</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Verizon Wireless – Delevan</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320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Lausten Road - Maxwell</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0.0020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Verizon Wireless – Grimes</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321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7822 Buster Road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0.0031</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2.0816</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Verizon Wireless – Harrington Ave</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322</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7068 Eddy Road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0.0088</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Verizon Wireless – Sites Peak</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323</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122 Sites Peak Road – Maxwell</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 xml:space="preserve">Verizon Wireless – Williams </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324</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890 Peto Road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0.0001</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0.0517</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Clear Lake Lava dba Williams Redi-Mil</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326</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1310 Husted Road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Concrete Batch Plant</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0.8162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0.0530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Depue Warehouse – Walnut</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331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5550 Lurline Avenue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Commodity Processor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0.0110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0.0922</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Loves Travel Stop #652</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332</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100 Marguerite Street - 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0.1235</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0.1289</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5.5772</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F6F, Inc.</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333</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4685 Freshwater Road-Williams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Commodity Processor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0.0017</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Strain Farming Company – Walnut</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334</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7584 Grimes-Arbuckle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Commodity Processor</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0.0022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0.0011</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Resources Production Corp. – GOU 7-5, 7-22</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336</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w:t>
            </w:r>
            <w:r w:rsidRPr="00746CC4">
              <w:rPr>
                <w:rFonts w:ascii="Calibri" w:eastAsia="Calibri" w:hAnsi="Calibri"/>
                <w:sz w:val="18"/>
                <w:szCs w:val="18"/>
                <w:vertAlign w:val="superscript"/>
              </w:rPr>
              <w:t>th</w:t>
            </w:r>
            <w:r w:rsidRPr="00746CC4">
              <w:rPr>
                <w:rFonts w:ascii="Calibri" w:eastAsia="Calibri" w:hAnsi="Calibri"/>
                <w:sz w:val="18"/>
                <w:szCs w:val="18"/>
              </w:rPr>
              <w:t xml:space="preserve"> Street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Verizon Wireless – Colusa Market</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339</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3341 River Road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0.00E+00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0.0032</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2.17</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Harvest Petroleum – County Line MM</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340</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County Line Road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0.0010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Harvest Petroleum – Grimes MM</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341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Browning Road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0.0001</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Western Area Power Administration</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342</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4749 Standard Road – Maxwell</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0.0156</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Resources Production Corp. – Balsdon 1-35A, 3-35</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426</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Lodi Road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Resources Production Corp. – Moonbend Colusa Unit</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449</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River Road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Resources Production Corp. – Henshaw 3-15, 4-10</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479</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Steidlmayer Road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California Resources Production Corp. – Poundstone 19-2</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526</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Cecil Road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Natural Gas Well</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0.0001</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New Cingular Wireless dba AT&amp;T – 5330 Highway 45</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621</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5330 Highway 45 – Princeton</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Communications Site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0.0003</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0.2055</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Arbuckle Gas Station</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622</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1125 Highway 99W – Arbuckle</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Gasoline Dispensing Facility</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0.0615</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2.5502</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Intermediate</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Colusa Collision Center</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626</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533 Main Street – Colusa</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Coatings Operation</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NP</w:t>
            </w:r>
          </w:p>
        </w:tc>
      </w:tr>
      <w:tr w:rsidR="00746CC4" w:rsidRPr="00746CC4" w:rsidTr="00FB27A1">
        <w:tc>
          <w:tcPr>
            <w:tcW w:w="34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Reclamation District 108</w:t>
            </w:r>
          </w:p>
        </w:tc>
        <w:tc>
          <w:tcPr>
            <w:tcW w:w="72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628</w:t>
            </w:r>
          </w:p>
        </w:tc>
        <w:tc>
          <w:tcPr>
            <w:tcW w:w="297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975 Wilson Bend Road - Grimes</w:t>
            </w:r>
          </w:p>
        </w:tc>
        <w:tc>
          <w:tcPr>
            <w:tcW w:w="225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Emergency ICE</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0.0000</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0.0008</w:t>
            </w:r>
          </w:p>
        </w:tc>
        <w:tc>
          <w:tcPr>
            <w:tcW w:w="126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0.0279</w:t>
            </w:r>
          </w:p>
        </w:tc>
        <w:tc>
          <w:tcPr>
            <w:tcW w:w="1980" w:type="dxa"/>
          </w:tcPr>
          <w:p w:rsidR="00746CC4" w:rsidRPr="00746CC4" w:rsidRDefault="00746CC4" w:rsidP="00746CC4">
            <w:pPr>
              <w:autoSpaceDE/>
              <w:autoSpaceDN/>
              <w:adjustRightInd/>
              <w:jc w:val="center"/>
              <w:rPr>
                <w:rFonts w:ascii="Calibri" w:eastAsia="Calibri" w:hAnsi="Calibri"/>
                <w:sz w:val="18"/>
                <w:szCs w:val="18"/>
              </w:rPr>
            </w:pPr>
            <w:r w:rsidRPr="00746CC4">
              <w:rPr>
                <w:rFonts w:ascii="Calibri" w:eastAsia="Calibri" w:hAnsi="Calibri"/>
                <w:sz w:val="18"/>
                <w:szCs w:val="18"/>
              </w:rPr>
              <w:t>Low</w:t>
            </w:r>
          </w:p>
        </w:tc>
      </w:tr>
    </w:tbl>
    <w:p w:rsidR="00FB27A1" w:rsidRPr="00820BDC" w:rsidRDefault="00FB27A1" w:rsidP="00FB27A1">
      <w:pPr>
        <w:rPr>
          <w:rFonts w:asciiTheme="minorHAnsi" w:hAnsiTheme="minorHAnsi" w:cstheme="minorHAnsi"/>
          <w:sz w:val="2"/>
          <w:szCs w:val="2"/>
        </w:rPr>
      </w:pPr>
    </w:p>
    <w:p w:rsidR="00FB27A1" w:rsidRPr="00820BDC" w:rsidRDefault="00FB27A1" w:rsidP="00FB27A1">
      <w:pPr>
        <w:rPr>
          <w:rFonts w:asciiTheme="minorHAnsi" w:hAnsiTheme="minorHAnsi" w:cstheme="minorHAnsi"/>
          <w:sz w:val="2"/>
          <w:szCs w:val="2"/>
        </w:rPr>
      </w:pPr>
    </w:p>
    <w:p w:rsidR="00FB27A1" w:rsidRPr="00820BDC" w:rsidRDefault="00FB27A1" w:rsidP="00FB27A1">
      <w:pPr>
        <w:rPr>
          <w:rFonts w:asciiTheme="minorHAnsi" w:hAnsiTheme="minorHAnsi" w:cstheme="minorHAnsi"/>
          <w:sz w:val="2"/>
          <w:szCs w:val="2"/>
        </w:rPr>
      </w:pPr>
    </w:p>
    <w:p w:rsidR="00FB27A1" w:rsidRPr="00820BDC" w:rsidRDefault="00820BDC" w:rsidP="00820BDC">
      <w:pPr>
        <w:tabs>
          <w:tab w:val="left" w:pos="7369"/>
        </w:tabs>
        <w:rPr>
          <w:rFonts w:asciiTheme="minorHAnsi" w:hAnsiTheme="minorHAnsi" w:cstheme="minorHAnsi"/>
          <w:sz w:val="2"/>
          <w:szCs w:val="2"/>
        </w:rPr>
      </w:pPr>
      <w:r w:rsidRPr="00820BDC">
        <w:rPr>
          <w:rFonts w:asciiTheme="minorHAnsi" w:hAnsiTheme="minorHAnsi" w:cstheme="minorHAnsi"/>
          <w:sz w:val="2"/>
          <w:szCs w:val="2"/>
        </w:rPr>
        <w:tab/>
      </w:r>
    </w:p>
    <w:p w:rsidR="00FB27A1" w:rsidRPr="00820BDC" w:rsidRDefault="00FB27A1" w:rsidP="00FB27A1">
      <w:pPr>
        <w:rPr>
          <w:rFonts w:asciiTheme="minorHAnsi" w:hAnsiTheme="minorHAnsi" w:cstheme="minorHAnsi"/>
          <w:sz w:val="2"/>
          <w:szCs w:val="2"/>
        </w:rPr>
      </w:pPr>
    </w:p>
    <w:p w:rsidR="00F71C81" w:rsidRPr="00820BDC" w:rsidRDefault="00F71C81" w:rsidP="00FB27A1">
      <w:pPr>
        <w:tabs>
          <w:tab w:val="left" w:pos="5267"/>
        </w:tabs>
        <w:rPr>
          <w:rFonts w:asciiTheme="minorHAnsi" w:hAnsiTheme="minorHAnsi" w:cstheme="minorHAnsi"/>
          <w:sz w:val="2"/>
          <w:szCs w:val="2"/>
        </w:rPr>
      </w:pPr>
    </w:p>
    <w:sectPr w:rsidR="00F71C81" w:rsidRPr="00820BDC" w:rsidSect="00FB27A1">
      <w:pgSz w:w="15840" w:h="12240" w:orient="landscape"/>
      <w:pgMar w:top="1440" w:right="1440" w:bottom="1440" w:left="1440" w:header="54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7A1" w:rsidRDefault="00FB27A1" w:rsidP="00FD65EA">
      <w:r>
        <w:separator/>
      </w:r>
    </w:p>
  </w:endnote>
  <w:endnote w:type="continuationSeparator" w:id="0">
    <w:p w:rsidR="00FB27A1" w:rsidRDefault="00FB27A1" w:rsidP="00FD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705417"/>
      <w:docPartObj>
        <w:docPartGallery w:val="Page Numbers (Bottom of Page)"/>
        <w:docPartUnique/>
      </w:docPartObj>
    </w:sdtPr>
    <w:sdtEndPr>
      <w:rPr>
        <w:noProof/>
      </w:rPr>
    </w:sdtEndPr>
    <w:sdtContent>
      <w:p w:rsidR="0080023D" w:rsidRDefault="0080023D">
        <w:pPr>
          <w:pStyle w:val="Footer"/>
          <w:jc w:val="right"/>
        </w:pPr>
        <w:r>
          <w:fldChar w:fldCharType="begin"/>
        </w:r>
        <w:r>
          <w:instrText xml:space="preserve"> PAGE   \* MERGEFORMAT </w:instrText>
        </w:r>
        <w:r>
          <w:fldChar w:fldCharType="separate"/>
        </w:r>
        <w:r w:rsidR="00D56E2A">
          <w:rPr>
            <w:noProof/>
          </w:rPr>
          <w:t>12</w:t>
        </w:r>
        <w:r>
          <w:rPr>
            <w:noProof/>
          </w:rPr>
          <w:fldChar w:fldCharType="end"/>
        </w:r>
      </w:p>
    </w:sdtContent>
  </w:sdt>
  <w:p w:rsidR="00734CEC" w:rsidRDefault="00734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CEC" w:rsidRDefault="00734CEC">
    <w:pPr>
      <w:pStyle w:val="Footer"/>
      <w:pBdr>
        <w:top w:val="single" w:sz="4" w:space="1" w:color="D9D9D9" w:themeColor="background1" w:themeShade="D9"/>
      </w:pBdr>
      <w:jc w:val="right"/>
    </w:pPr>
  </w:p>
  <w:p w:rsidR="00734CEC" w:rsidRDefault="00734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7A1" w:rsidRDefault="00FB27A1" w:rsidP="00FD65EA">
      <w:r>
        <w:separator/>
      </w:r>
    </w:p>
  </w:footnote>
  <w:footnote w:type="continuationSeparator" w:id="0">
    <w:p w:rsidR="00FB27A1" w:rsidRDefault="00FB27A1" w:rsidP="00FD6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7A1" w:rsidRPr="00E92E72" w:rsidRDefault="00FB27A1">
    <w:pPr>
      <w:pStyle w:val="Header"/>
      <w:jc w:val="right"/>
      <w:rPr>
        <w:sz w:val="2"/>
      </w:rPr>
    </w:pPr>
  </w:p>
  <w:p w:rsidR="00FB27A1" w:rsidRDefault="00FB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EF2837"/>
    <w:multiLevelType w:val="hybridMultilevel"/>
    <w:tmpl w:val="0BC0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B74"/>
    <w:rsid w:val="000647D3"/>
    <w:rsid w:val="0008049C"/>
    <w:rsid w:val="000B0CC8"/>
    <w:rsid w:val="000B5EF9"/>
    <w:rsid w:val="000C5284"/>
    <w:rsid w:val="000C6C92"/>
    <w:rsid w:val="000E2A8C"/>
    <w:rsid w:val="000F11D3"/>
    <w:rsid w:val="00115E99"/>
    <w:rsid w:val="00120523"/>
    <w:rsid w:val="00141ED4"/>
    <w:rsid w:val="001922D4"/>
    <w:rsid w:val="001A301B"/>
    <w:rsid w:val="001C04F0"/>
    <w:rsid w:val="001D6A95"/>
    <w:rsid w:val="001E04DE"/>
    <w:rsid w:val="001E430A"/>
    <w:rsid w:val="001F0C7D"/>
    <w:rsid w:val="00252936"/>
    <w:rsid w:val="00257673"/>
    <w:rsid w:val="002725E9"/>
    <w:rsid w:val="00280513"/>
    <w:rsid w:val="00290995"/>
    <w:rsid w:val="002B4538"/>
    <w:rsid w:val="002F67A1"/>
    <w:rsid w:val="00316574"/>
    <w:rsid w:val="0033033D"/>
    <w:rsid w:val="00332548"/>
    <w:rsid w:val="00332CF6"/>
    <w:rsid w:val="003412E0"/>
    <w:rsid w:val="00354CF9"/>
    <w:rsid w:val="003A317F"/>
    <w:rsid w:val="003D331A"/>
    <w:rsid w:val="003E1AEF"/>
    <w:rsid w:val="003E395B"/>
    <w:rsid w:val="003E7E1B"/>
    <w:rsid w:val="00402128"/>
    <w:rsid w:val="00421076"/>
    <w:rsid w:val="0042786C"/>
    <w:rsid w:val="00435E0E"/>
    <w:rsid w:val="00443571"/>
    <w:rsid w:val="00461F2A"/>
    <w:rsid w:val="004629D6"/>
    <w:rsid w:val="00490B74"/>
    <w:rsid w:val="004A0319"/>
    <w:rsid w:val="004A3E9A"/>
    <w:rsid w:val="004A4F9F"/>
    <w:rsid w:val="004B3A99"/>
    <w:rsid w:val="004C6AD3"/>
    <w:rsid w:val="004D6B5D"/>
    <w:rsid w:val="004E303C"/>
    <w:rsid w:val="00504725"/>
    <w:rsid w:val="00515071"/>
    <w:rsid w:val="005466B8"/>
    <w:rsid w:val="00553B8E"/>
    <w:rsid w:val="005C050E"/>
    <w:rsid w:val="005D7ACA"/>
    <w:rsid w:val="005E5709"/>
    <w:rsid w:val="0063216B"/>
    <w:rsid w:val="00644A63"/>
    <w:rsid w:val="00681E42"/>
    <w:rsid w:val="006A09FE"/>
    <w:rsid w:val="006C62B0"/>
    <w:rsid w:val="0070174E"/>
    <w:rsid w:val="00703D2F"/>
    <w:rsid w:val="00713108"/>
    <w:rsid w:val="00714D38"/>
    <w:rsid w:val="007208F1"/>
    <w:rsid w:val="00734CEC"/>
    <w:rsid w:val="00746CC4"/>
    <w:rsid w:val="00747D43"/>
    <w:rsid w:val="0075019A"/>
    <w:rsid w:val="00773515"/>
    <w:rsid w:val="0078254D"/>
    <w:rsid w:val="007B4632"/>
    <w:rsid w:val="007C7C7A"/>
    <w:rsid w:val="007D3F07"/>
    <w:rsid w:val="007D701E"/>
    <w:rsid w:val="007D7560"/>
    <w:rsid w:val="007D7B3B"/>
    <w:rsid w:val="007F0E72"/>
    <w:rsid w:val="007F43CF"/>
    <w:rsid w:val="0080023D"/>
    <w:rsid w:val="00805039"/>
    <w:rsid w:val="00820BDC"/>
    <w:rsid w:val="00837770"/>
    <w:rsid w:val="008519CB"/>
    <w:rsid w:val="00866EE3"/>
    <w:rsid w:val="008B2E32"/>
    <w:rsid w:val="008B2F05"/>
    <w:rsid w:val="008C1992"/>
    <w:rsid w:val="008C5617"/>
    <w:rsid w:val="008E3A7B"/>
    <w:rsid w:val="008E504F"/>
    <w:rsid w:val="00917E1C"/>
    <w:rsid w:val="009374EA"/>
    <w:rsid w:val="00953557"/>
    <w:rsid w:val="009641A8"/>
    <w:rsid w:val="0099517C"/>
    <w:rsid w:val="009B3901"/>
    <w:rsid w:val="009D0347"/>
    <w:rsid w:val="009E4FB6"/>
    <w:rsid w:val="009F0F00"/>
    <w:rsid w:val="00A05767"/>
    <w:rsid w:val="00A058A9"/>
    <w:rsid w:val="00A200A8"/>
    <w:rsid w:val="00A2215A"/>
    <w:rsid w:val="00A4255E"/>
    <w:rsid w:val="00A5449B"/>
    <w:rsid w:val="00A55EB5"/>
    <w:rsid w:val="00A60A65"/>
    <w:rsid w:val="00A765F7"/>
    <w:rsid w:val="00AD1DCB"/>
    <w:rsid w:val="00AE0698"/>
    <w:rsid w:val="00B00857"/>
    <w:rsid w:val="00B13111"/>
    <w:rsid w:val="00B21B99"/>
    <w:rsid w:val="00B346BF"/>
    <w:rsid w:val="00B4657A"/>
    <w:rsid w:val="00B5183B"/>
    <w:rsid w:val="00BA32EA"/>
    <w:rsid w:val="00BA4F77"/>
    <w:rsid w:val="00BE031A"/>
    <w:rsid w:val="00BF49C9"/>
    <w:rsid w:val="00C2765A"/>
    <w:rsid w:val="00C53401"/>
    <w:rsid w:val="00C7206C"/>
    <w:rsid w:val="00C7297E"/>
    <w:rsid w:val="00CB4DD6"/>
    <w:rsid w:val="00CD1D5A"/>
    <w:rsid w:val="00D10B90"/>
    <w:rsid w:val="00D10EFD"/>
    <w:rsid w:val="00D12FA8"/>
    <w:rsid w:val="00D14050"/>
    <w:rsid w:val="00D16955"/>
    <w:rsid w:val="00D2407D"/>
    <w:rsid w:val="00D42980"/>
    <w:rsid w:val="00D5092E"/>
    <w:rsid w:val="00D5249E"/>
    <w:rsid w:val="00D53617"/>
    <w:rsid w:val="00D56E2A"/>
    <w:rsid w:val="00D7593F"/>
    <w:rsid w:val="00D969E9"/>
    <w:rsid w:val="00DE513C"/>
    <w:rsid w:val="00E0100C"/>
    <w:rsid w:val="00E30464"/>
    <w:rsid w:val="00E613AD"/>
    <w:rsid w:val="00E66369"/>
    <w:rsid w:val="00E67A17"/>
    <w:rsid w:val="00E832DF"/>
    <w:rsid w:val="00E92E72"/>
    <w:rsid w:val="00EB7C26"/>
    <w:rsid w:val="00EC028D"/>
    <w:rsid w:val="00ED4109"/>
    <w:rsid w:val="00ED6D42"/>
    <w:rsid w:val="00EF37D9"/>
    <w:rsid w:val="00F13EBA"/>
    <w:rsid w:val="00F44D32"/>
    <w:rsid w:val="00F479BA"/>
    <w:rsid w:val="00F71C81"/>
    <w:rsid w:val="00F9081C"/>
    <w:rsid w:val="00FB27A1"/>
    <w:rsid w:val="00FD65EA"/>
    <w:rsid w:val="00FF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2CCBF08"/>
  <w15:docId w15:val="{23B73FC0-04A1-492C-8B90-19AF68D9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B3B"/>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2F05"/>
    <w:pPr>
      <w:spacing w:after="0" w:line="240" w:lineRule="auto"/>
    </w:pPr>
  </w:style>
  <w:style w:type="character" w:styleId="Hyperlink">
    <w:name w:val="Hyperlink"/>
    <w:basedOn w:val="DefaultParagraphFont"/>
    <w:uiPriority w:val="99"/>
    <w:unhideWhenUsed/>
    <w:rsid w:val="008B2F05"/>
    <w:rPr>
      <w:color w:val="0000FF" w:themeColor="hyperlink"/>
      <w:u w:val="single"/>
    </w:rPr>
  </w:style>
  <w:style w:type="paragraph" w:styleId="BalloonText">
    <w:name w:val="Balloon Text"/>
    <w:basedOn w:val="Normal"/>
    <w:link w:val="BalloonTextChar"/>
    <w:uiPriority w:val="99"/>
    <w:semiHidden/>
    <w:unhideWhenUsed/>
    <w:rsid w:val="00F479BA"/>
    <w:pPr>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9BA"/>
    <w:rPr>
      <w:rFonts w:ascii="Tahoma" w:hAnsi="Tahoma" w:cs="Tahoma"/>
      <w:sz w:val="16"/>
      <w:szCs w:val="16"/>
    </w:rPr>
  </w:style>
  <w:style w:type="paragraph" w:styleId="Header">
    <w:name w:val="header"/>
    <w:basedOn w:val="Normal"/>
    <w:link w:val="HeaderChar"/>
    <w:uiPriority w:val="99"/>
    <w:unhideWhenUsed/>
    <w:rsid w:val="00FD65EA"/>
    <w:pPr>
      <w:tabs>
        <w:tab w:val="center" w:pos="4680"/>
        <w:tab w:val="right" w:pos="9360"/>
      </w:tabs>
      <w:autoSpaceDE/>
      <w:autoSpaceDN/>
      <w:adjustRightInd/>
    </w:pPr>
    <w:rPr>
      <w:rFonts w:asciiTheme="minorHAnsi" w:hAnsiTheme="minorHAnsi" w:cstheme="minorBidi"/>
      <w:sz w:val="22"/>
      <w:szCs w:val="22"/>
    </w:rPr>
  </w:style>
  <w:style w:type="character" w:customStyle="1" w:styleId="HeaderChar">
    <w:name w:val="Header Char"/>
    <w:basedOn w:val="DefaultParagraphFont"/>
    <w:link w:val="Header"/>
    <w:uiPriority w:val="99"/>
    <w:rsid w:val="00FD65EA"/>
  </w:style>
  <w:style w:type="paragraph" w:styleId="Footer">
    <w:name w:val="footer"/>
    <w:basedOn w:val="Normal"/>
    <w:link w:val="FooterChar"/>
    <w:uiPriority w:val="99"/>
    <w:unhideWhenUsed/>
    <w:rsid w:val="00FD65EA"/>
    <w:pPr>
      <w:tabs>
        <w:tab w:val="center" w:pos="4680"/>
        <w:tab w:val="right" w:pos="9360"/>
      </w:tabs>
      <w:autoSpaceDE/>
      <w:autoSpaceDN/>
      <w:adjustRightInd/>
    </w:pPr>
    <w:rPr>
      <w:rFonts w:asciiTheme="minorHAnsi" w:hAnsiTheme="minorHAnsi" w:cstheme="minorBidi"/>
      <w:sz w:val="22"/>
      <w:szCs w:val="22"/>
    </w:rPr>
  </w:style>
  <w:style w:type="character" w:customStyle="1" w:styleId="FooterChar">
    <w:name w:val="Footer Char"/>
    <w:basedOn w:val="DefaultParagraphFont"/>
    <w:link w:val="Footer"/>
    <w:uiPriority w:val="99"/>
    <w:rsid w:val="00FD65EA"/>
  </w:style>
  <w:style w:type="character" w:styleId="CommentReference">
    <w:name w:val="annotation reference"/>
    <w:basedOn w:val="DefaultParagraphFont"/>
    <w:uiPriority w:val="99"/>
    <w:semiHidden/>
    <w:unhideWhenUsed/>
    <w:rsid w:val="00435E0E"/>
    <w:rPr>
      <w:sz w:val="16"/>
      <w:szCs w:val="16"/>
    </w:rPr>
  </w:style>
  <w:style w:type="paragraph" w:styleId="CommentText">
    <w:name w:val="annotation text"/>
    <w:basedOn w:val="Normal"/>
    <w:link w:val="CommentTextChar"/>
    <w:uiPriority w:val="99"/>
    <w:semiHidden/>
    <w:unhideWhenUsed/>
    <w:rsid w:val="00435E0E"/>
    <w:pPr>
      <w:autoSpaceDE/>
      <w:autoSpaceDN/>
      <w:adjustRightInd/>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435E0E"/>
    <w:rPr>
      <w:sz w:val="20"/>
      <w:szCs w:val="20"/>
    </w:rPr>
  </w:style>
  <w:style w:type="paragraph" w:styleId="CommentSubject">
    <w:name w:val="annotation subject"/>
    <w:basedOn w:val="CommentText"/>
    <w:next w:val="CommentText"/>
    <w:link w:val="CommentSubjectChar"/>
    <w:uiPriority w:val="99"/>
    <w:semiHidden/>
    <w:unhideWhenUsed/>
    <w:rsid w:val="00435E0E"/>
    <w:rPr>
      <w:b/>
      <w:bCs/>
    </w:rPr>
  </w:style>
  <w:style w:type="character" w:customStyle="1" w:styleId="CommentSubjectChar">
    <w:name w:val="Comment Subject Char"/>
    <w:basedOn w:val="CommentTextChar"/>
    <w:link w:val="CommentSubject"/>
    <w:uiPriority w:val="99"/>
    <w:semiHidden/>
    <w:rsid w:val="00435E0E"/>
    <w:rPr>
      <w:b/>
      <w:bCs/>
      <w:sz w:val="20"/>
      <w:szCs w:val="20"/>
    </w:rPr>
  </w:style>
  <w:style w:type="paragraph" w:customStyle="1" w:styleId="Default">
    <w:name w:val="Default"/>
    <w:rsid w:val="007D7B3B"/>
    <w:pPr>
      <w:autoSpaceDE w:val="0"/>
      <w:autoSpaceDN w:val="0"/>
      <w:adjustRightInd w:val="0"/>
      <w:spacing w:after="0" w:line="240" w:lineRule="auto"/>
    </w:pPr>
    <w:rPr>
      <w:rFonts w:ascii="Cambria" w:hAnsi="Cambria" w:cs="Cambria"/>
      <w:color w:val="000000"/>
      <w:sz w:val="24"/>
      <w:szCs w:val="24"/>
    </w:rPr>
  </w:style>
  <w:style w:type="character" w:styleId="FollowedHyperlink">
    <w:name w:val="FollowedHyperlink"/>
    <w:basedOn w:val="DefaultParagraphFont"/>
    <w:uiPriority w:val="99"/>
    <w:semiHidden/>
    <w:unhideWhenUsed/>
    <w:rsid w:val="007D7B3B"/>
    <w:rPr>
      <w:color w:val="800080" w:themeColor="followedHyperlink"/>
      <w:u w:val="single"/>
    </w:rPr>
  </w:style>
  <w:style w:type="table" w:styleId="TableGrid">
    <w:name w:val="Table Grid"/>
    <w:basedOn w:val="TableNormal"/>
    <w:uiPriority w:val="59"/>
    <w:rsid w:val="008C5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46CC4"/>
  </w:style>
  <w:style w:type="table" w:customStyle="1" w:styleId="TableGrid1">
    <w:name w:val="Table Grid1"/>
    <w:basedOn w:val="TableNormal"/>
    <w:next w:val="TableGrid"/>
    <w:uiPriority w:val="59"/>
    <w:rsid w:val="00746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2.png@01DAFDF2.42E70400"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B99C6-6064-4D44-904F-5F802E6F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Template.dotx</Template>
  <TotalTime>1656</TotalTime>
  <Pages>12</Pages>
  <Words>4805</Words>
  <Characters>27390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Ronda Smith</dc:creator>
  <cp:lastModifiedBy>Casey Ryan</cp:lastModifiedBy>
  <cp:revision>30</cp:revision>
  <cp:lastPrinted>2024-10-17T15:23:00Z</cp:lastPrinted>
  <dcterms:created xsi:type="dcterms:W3CDTF">2024-08-20T16:29:00Z</dcterms:created>
  <dcterms:modified xsi:type="dcterms:W3CDTF">2024-10-17T15:59:00Z</dcterms:modified>
</cp:coreProperties>
</file>